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E728" w14:textId="04F0EF21" w:rsidR="00CA79D7" w:rsidRPr="006456EA" w:rsidRDefault="00161817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top-7-investment</w:t>
      </w:r>
      <w:r w:rsidR="000021F4">
        <w:rPr>
          <w:rFonts w:ascii="Source Sans Pro" w:hAnsi="Source Sans Pro" w:cs="Source Sans Pro"/>
          <w:caps/>
          <w:color w:val="0086A8"/>
          <w:sz w:val="22"/>
          <w:szCs w:val="22"/>
        </w:rPr>
        <w:t>märkte Q</w:t>
      </w:r>
      <w:r w:rsidR="00BF5E1D">
        <w:rPr>
          <w:rFonts w:ascii="Source Sans Pro" w:hAnsi="Source Sans Pro" w:cs="Source Sans Pro"/>
          <w:caps/>
          <w:color w:val="0086A8"/>
          <w:sz w:val="22"/>
          <w:szCs w:val="22"/>
        </w:rPr>
        <w:t>2</w:t>
      </w:r>
      <w:r w:rsidR="001550FE">
        <w:rPr>
          <w:rFonts w:ascii="Source Sans Pro" w:hAnsi="Source Sans Pro" w:cs="Source Sans Pro"/>
          <w:caps/>
          <w:color w:val="0086A8"/>
          <w:sz w:val="22"/>
          <w:szCs w:val="22"/>
        </w:rPr>
        <w:t>/202</w:t>
      </w:r>
      <w:r w:rsidR="00F40B12">
        <w:rPr>
          <w:rFonts w:ascii="Source Sans Pro" w:hAnsi="Source Sans Pro" w:cs="Source Sans Pro"/>
          <w:caps/>
          <w:color w:val="0086A8"/>
          <w:sz w:val="22"/>
          <w:szCs w:val="22"/>
        </w:rPr>
        <w:t>2</w:t>
      </w:r>
      <w:r w:rsidR="00CA79D7" w:rsidRPr="006456E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C2D2599" w14:textId="1D93406B" w:rsidR="00CA79D7" w:rsidRDefault="00361BB2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rFonts w:ascii="Source Sans Pro" w:hAnsi="Source Sans Pro" w:cs="Source Sans Pro"/>
          <w:sz w:val="36"/>
          <w:szCs w:val="36"/>
        </w:rPr>
        <w:t xml:space="preserve">Zinswende erfordert Neuorientierung </w:t>
      </w:r>
    </w:p>
    <w:p w14:paraId="743073FD" w14:textId="77777777" w:rsidR="003152C9" w:rsidRDefault="003152C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5647083E" w14:textId="4A3B59A5" w:rsidR="00CA79D7" w:rsidRPr="00CA79D7" w:rsidRDefault="0042270C" w:rsidP="00CA79D7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</w:rPr>
      </w:pPr>
      <w:r w:rsidRPr="0042270C">
        <w:rPr>
          <w:rFonts w:ascii="Source Sans Pro" w:hAnsi="Source Sans Pro" w:cs="Source Sans Pro"/>
          <w:noProof/>
          <w:color w:val="0086A8"/>
          <w:sz w:val="22"/>
          <w:szCs w:val="22"/>
        </w:rPr>
        <w:drawing>
          <wp:inline distT="0" distB="0" distL="0" distR="0" wp14:anchorId="14546D11" wp14:editId="3AAAA76D">
            <wp:extent cx="5443132" cy="2959440"/>
            <wp:effectExtent l="0" t="0" r="5715" b="0"/>
            <wp:docPr id="3" name="Grafik 3" descr="Y:\Research und Presse\_intern\1_GPP\GPP-Pressemitteilungen\PM Büro Invest 2022_Q2\Investment\Grafiken\TAV_Top7_2022Q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Research und Presse\_intern\1_GPP\GPP-Pressemitteilungen\PM Büro Invest 2022_Q2\Investment\Grafiken\TAV_Top7_2022Q1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2" cy="296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673">
        <w:rPr>
          <w:rFonts w:ascii="Source Sans Pro" w:hAnsi="Source Sans Pro" w:cs="Source Sans Pro"/>
          <w:color w:val="0086A8"/>
          <w:sz w:val="22"/>
          <w:szCs w:val="22"/>
        </w:rPr>
        <w:br w:type="textWrapping" w:clear="all"/>
      </w:r>
    </w:p>
    <w:p w14:paraId="1DE5BFC8" w14:textId="77777777" w:rsidR="00904B69" w:rsidRDefault="00904B69" w:rsidP="00904B69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6482AB4A" w14:textId="5C8118EC" w:rsidR="0042270C" w:rsidRDefault="00F40B12" w:rsidP="00EE60C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color w:val="0086A8"/>
          <w:sz w:val="22"/>
          <w:szCs w:val="22"/>
        </w:rPr>
        <w:t>0</w:t>
      </w:r>
      <w:r w:rsidR="00216C8D">
        <w:rPr>
          <w:rFonts w:ascii="Source Sans Pro" w:hAnsi="Source Sans Pro" w:cs="Source Sans Pro"/>
          <w:color w:val="0086A8"/>
          <w:sz w:val="22"/>
          <w:szCs w:val="22"/>
        </w:rPr>
        <w:t>1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. </w:t>
      </w:r>
      <w:r w:rsidR="00BF5E1D">
        <w:rPr>
          <w:rFonts w:ascii="Source Sans Pro" w:hAnsi="Source Sans Pro" w:cs="Source Sans Pro"/>
          <w:color w:val="0087A8"/>
          <w:sz w:val="22"/>
          <w:szCs w:val="22"/>
        </w:rPr>
        <w:t>Juli</w:t>
      </w:r>
      <w:r w:rsidR="000021F4">
        <w:rPr>
          <w:rFonts w:ascii="Source Sans Pro" w:hAnsi="Source Sans Pro" w:cs="Source Sans Pro"/>
          <w:color w:val="0087A8"/>
          <w:sz w:val="22"/>
          <w:szCs w:val="22"/>
        </w:rPr>
        <w:t xml:space="preserve"> 2022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>, Hamburg.</w:t>
      </w:r>
      <w:r w:rsidR="007D5A52">
        <w:rPr>
          <w:rFonts w:ascii="Source Sans Pro" w:hAnsi="Source Sans Pro" w:cs="Source Sans Pro"/>
          <w:color w:val="0086A8"/>
          <w:sz w:val="22"/>
          <w:szCs w:val="22"/>
        </w:rPr>
        <w:t xml:space="preserve"> </w:t>
      </w:r>
      <w:r w:rsidR="00EE60C7" w:rsidRPr="00EE60C7">
        <w:rPr>
          <w:rFonts w:ascii="Source Sans Pro" w:hAnsi="Source Sans Pro" w:cs="Source Sans Pro"/>
          <w:color w:val="auto"/>
          <w:sz w:val="22"/>
          <w:szCs w:val="22"/>
        </w:rPr>
        <w:t xml:space="preserve">Das </w:t>
      </w:r>
      <w:r w:rsidR="00D949D0" w:rsidRPr="00D949D0">
        <w:rPr>
          <w:rFonts w:ascii="Source Sans Pro" w:hAnsi="Source Sans Pro" w:cs="Source Sans Pro"/>
          <w:color w:val="auto"/>
          <w:sz w:val="22"/>
          <w:szCs w:val="22"/>
        </w:rPr>
        <w:t xml:space="preserve">Transaktionsvolumen (TAV) </w:t>
      </w:r>
      <w:r w:rsidR="00D949D0">
        <w:rPr>
          <w:rFonts w:ascii="Source Sans Pro" w:hAnsi="Source Sans Pro" w:cs="Source Sans Pro"/>
          <w:color w:val="auto"/>
          <w:sz w:val="22"/>
          <w:szCs w:val="22"/>
        </w:rPr>
        <w:t xml:space="preserve">auf den </w:t>
      </w:r>
      <w:r w:rsidR="00E30081" w:rsidRPr="00E30081">
        <w:rPr>
          <w:rFonts w:ascii="Source Sans Pro" w:hAnsi="Source Sans Pro" w:cs="Arial"/>
          <w:bCs/>
          <w:sz w:val="22"/>
          <w:szCs w:val="22"/>
        </w:rPr>
        <w:t>Märkte</w:t>
      </w:r>
      <w:r w:rsidR="00D949D0">
        <w:rPr>
          <w:rFonts w:ascii="Source Sans Pro" w:hAnsi="Source Sans Pro" w:cs="Arial"/>
          <w:bCs/>
          <w:sz w:val="22"/>
          <w:szCs w:val="22"/>
        </w:rPr>
        <w:t>n</w:t>
      </w:r>
      <w:r w:rsidR="00E30081" w:rsidRPr="00E30081">
        <w:rPr>
          <w:rFonts w:ascii="Source Sans Pro" w:hAnsi="Source Sans Pro" w:cs="Arial"/>
          <w:bCs/>
          <w:sz w:val="22"/>
          <w:szCs w:val="22"/>
        </w:rPr>
        <w:t xml:space="preserve"> für gewerbliche Immobilieninvestments an den deutschen Top-7-Standorten</w:t>
      </w:r>
      <w:r w:rsidR="00BD46B2">
        <w:rPr>
          <w:rFonts w:ascii="Source Sans Pro" w:hAnsi="Source Sans Pro" w:cs="Arial"/>
          <w:bCs/>
          <w:sz w:val="22"/>
          <w:szCs w:val="22"/>
        </w:rPr>
        <w:t xml:space="preserve"> </w:t>
      </w:r>
      <w:r w:rsidR="00EE60C7">
        <w:rPr>
          <w:rFonts w:ascii="Source Sans Pro" w:hAnsi="Source Sans Pro" w:cs="Arial"/>
          <w:bCs/>
          <w:sz w:val="22"/>
          <w:szCs w:val="22"/>
        </w:rPr>
        <w:t xml:space="preserve">belief sich zum Ende des </w:t>
      </w:r>
      <w:r w:rsidR="00D75E21">
        <w:rPr>
          <w:rFonts w:ascii="Source Sans Pro" w:hAnsi="Source Sans Pro" w:cs="Arial"/>
          <w:bCs/>
          <w:sz w:val="22"/>
          <w:szCs w:val="22"/>
        </w:rPr>
        <w:t>1. Halbjahres</w:t>
      </w:r>
      <w:r w:rsidR="00EE60C7">
        <w:rPr>
          <w:rFonts w:ascii="Source Sans Pro" w:hAnsi="Source Sans Pro" w:cs="Arial"/>
          <w:bCs/>
          <w:sz w:val="22"/>
          <w:szCs w:val="22"/>
        </w:rPr>
        <w:t xml:space="preserve"> 2022 auf rund 13,7 Mrd. €. </w:t>
      </w:r>
      <w:r w:rsidR="00F900AB">
        <w:rPr>
          <w:rFonts w:ascii="Source Sans Pro" w:hAnsi="Source Sans Pro" w:cs="Arial"/>
          <w:bCs/>
          <w:sz w:val="22"/>
          <w:szCs w:val="22"/>
        </w:rPr>
        <w:t>Dies entspricht einem Anstieg von 10 % gegenüber dem Vorjahreszeitraum</w:t>
      </w:r>
      <w:r w:rsidR="00A432CB">
        <w:rPr>
          <w:rFonts w:ascii="Source Sans Pro" w:hAnsi="Source Sans Pro" w:cs="Arial"/>
          <w:bCs/>
          <w:sz w:val="22"/>
          <w:szCs w:val="22"/>
        </w:rPr>
        <w:t xml:space="preserve">, der </w:t>
      </w:r>
      <w:r w:rsidR="00D75E21">
        <w:rPr>
          <w:rFonts w:ascii="Source Sans Pro" w:hAnsi="Source Sans Pro" w:cs="Arial"/>
          <w:bCs/>
          <w:sz w:val="22"/>
          <w:szCs w:val="22"/>
        </w:rPr>
        <w:t xml:space="preserve">jedoch weiterhin </w:t>
      </w:r>
      <w:r w:rsidR="00A432CB" w:rsidRPr="00A432CB">
        <w:rPr>
          <w:rFonts w:ascii="Source Sans Pro" w:hAnsi="Source Sans Pro" w:cs="Arial"/>
          <w:bCs/>
          <w:sz w:val="22"/>
          <w:szCs w:val="22"/>
        </w:rPr>
        <w:t xml:space="preserve">von der großvolumigen Übernahme des alstria-Portfolios durch Brookfield im </w:t>
      </w:r>
      <w:r w:rsidR="00A432CB">
        <w:rPr>
          <w:rFonts w:ascii="Source Sans Pro" w:hAnsi="Source Sans Pro" w:cs="Arial"/>
          <w:bCs/>
          <w:sz w:val="22"/>
          <w:szCs w:val="22"/>
        </w:rPr>
        <w:t>1.</w:t>
      </w:r>
      <w:r w:rsidR="005B572B">
        <w:rPr>
          <w:rFonts w:ascii="Source Sans Pro" w:hAnsi="Source Sans Pro" w:cs="Arial"/>
          <w:bCs/>
          <w:sz w:val="22"/>
          <w:szCs w:val="22"/>
        </w:rPr>
        <w:t> </w:t>
      </w:r>
      <w:r w:rsidR="00A432CB" w:rsidRPr="00A432CB">
        <w:rPr>
          <w:rFonts w:ascii="Source Sans Pro" w:hAnsi="Source Sans Pro" w:cs="Arial"/>
          <w:bCs/>
          <w:sz w:val="22"/>
          <w:szCs w:val="22"/>
        </w:rPr>
        <w:t>Quartal getragen</w:t>
      </w:r>
      <w:r w:rsidR="00A432CB">
        <w:rPr>
          <w:rFonts w:ascii="Source Sans Pro" w:hAnsi="Source Sans Pro" w:cs="Arial"/>
          <w:bCs/>
          <w:sz w:val="22"/>
          <w:szCs w:val="22"/>
        </w:rPr>
        <w:t xml:space="preserve"> wird und nicht das </w:t>
      </w:r>
      <w:r w:rsidR="00D75E21">
        <w:rPr>
          <w:rFonts w:ascii="Source Sans Pro" w:hAnsi="Source Sans Pro" w:cs="Arial"/>
          <w:bCs/>
          <w:sz w:val="22"/>
          <w:szCs w:val="22"/>
        </w:rPr>
        <w:t>tatsächlich</w:t>
      </w:r>
      <w:r w:rsidR="00A432CB">
        <w:rPr>
          <w:rFonts w:ascii="Source Sans Pro" w:hAnsi="Source Sans Pro" w:cs="Arial"/>
          <w:bCs/>
          <w:sz w:val="22"/>
          <w:szCs w:val="22"/>
        </w:rPr>
        <w:t xml:space="preserve">e Marktgeschehen </w:t>
      </w:r>
      <w:r w:rsidR="00A432CB" w:rsidRPr="0042270C">
        <w:rPr>
          <w:rFonts w:ascii="Source Sans Pro" w:hAnsi="Source Sans Pro" w:cs="Arial"/>
          <w:bCs/>
          <w:sz w:val="22"/>
          <w:szCs w:val="22"/>
        </w:rPr>
        <w:t>abbildet</w:t>
      </w:r>
      <w:r w:rsidR="00F900AB" w:rsidRPr="0042270C">
        <w:rPr>
          <w:rFonts w:ascii="Source Sans Pro" w:hAnsi="Source Sans Pro" w:cs="Arial"/>
          <w:bCs/>
          <w:sz w:val="22"/>
          <w:szCs w:val="22"/>
        </w:rPr>
        <w:t xml:space="preserve">. </w:t>
      </w:r>
      <w:r w:rsidR="00C7165C">
        <w:rPr>
          <w:rFonts w:ascii="Source Sans Pro" w:hAnsi="Source Sans Pro" w:cs="Arial"/>
          <w:bCs/>
          <w:sz w:val="22"/>
          <w:szCs w:val="22"/>
        </w:rPr>
        <w:t xml:space="preserve">Dies wird deutlich, wenn man das 1. Quartal aus </w:t>
      </w:r>
      <w:r w:rsidR="005B572B">
        <w:rPr>
          <w:rFonts w:ascii="Source Sans Pro" w:hAnsi="Source Sans Pro" w:cs="Arial"/>
          <w:bCs/>
          <w:sz w:val="22"/>
          <w:szCs w:val="22"/>
        </w:rPr>
        <w:t xml:space="preserve">der </w:t>
      </w:r>
      <w:r w:rsidR="00C7165C">
        <w:rPr>
          <w:rFonts w:ascii="Source Sans Pro" w:hAnsi="Source Sans Pro" w:cs="Arial"/>
          <w:bCs/>
          <w:sz w:val="22"/>
          <w:szCs w:val="22"/>
        </w:rPr>
        <w:t xml:space="preserve">Betrachtung ausklammert: </w:t>
      </w:r>
      <w:r w:rsidR="00156B89" w:rsidRPr="0042270C">
        <w:rPr>
          <w:rFonts w:ascii="Source Sans Pro" w:hAnsi="Source Sans Pro" w:cs="Arial"/>
          <w:bCs/>
          <w:sz w:val="22"/>
          <w:szCs w:val="22"/>
        </w:rPr>
        <w:t xml:space="preserve">Von April bis Juni </w:t>
      </w:r>
      <w:r w:rsidR="00D7556F">
        <w:rPr>
          <w:rFonts w:ascii="Source Sans Pro" w:hAnsi="Source Sans Pro" w:cs="Arial"/>
          <w:bCs/>
          <w:sz w:val="22"/>
          <w:szCs w:val="22"/>
        </w:rPr>
        <w:t>wechselten</w:t>
      </w:r>
      <w:r w:rsidR="00D75E21" w:rsidRPr="0042270C">
        <w:rPr>
          <w:rFonts w:ascii="Source Sans Pro" w:hAnsi="Source Sans Pro" w:cs="Source Sans Pro"/>
          <w:sz w:val="22"/>
          <w:szCs w:val="22"/>
        </w:rPr>
        <w:t xml:space="preserve"> </w:t>
      </w:r>
      <w:r w:rsidR="00156B89" w:rsidRPr="0042270C">
        <w:rPr>
          <w:rFonts w:ascii="Source Sans Pro" w:hAnsi="Source Sans Pro" w:cs="Source Sans Pro"/>
          <w:sz w:val="22"/>
          <w:szCs w:val="22"/>
        </w:rPr>
        <w:t>an den Top-7</w:t>
      </w:r>
      <w:r w:rsidR="00C7165C">
        <w:rPr>
          <w:rFonts w:ascii="Source Sans Pro" w:hAnsi="Source Sans Pro" w:cs="Source Sans Pro"/>
          <w:sz w:val="22"/>
          <w:szCs w:val="22"/>
        </w:rPr>
        <w:t>-Standorten</w:t>
      </w:r>
      <w:r w:rsidR="00156B89" w:rsidRPr="0042270C">
        <w:rPr>
          <w:rFonts w:ascii="Source Sans Pro" w:hAnsi="Source Sans Pro" w:cs="Source Sans Pro"/>
          <w:sz w:val="22"/>
          <w:szCs w:val="22"/>
        </w:rPr>
        <w:t xml:space="preserve"> </w:t>
      </w:r>
      <w:r w:rsidR="00D7556F">
        <w:rPr>
          <w:rFonts w:ascii="Source Sans Pro" w:hAnsi="Source Sans Pro" w:cs="Source Sans Pro"/>
          <w:sz w:val="22"/>
          <w:szCs w:val="22"/>
        </w:rPr>
        <w:t xml:space="preserve">Investitionsobjekte </w:t>
      </w:r>
      <w:r w:rsidR="00E527FB">
        <w:rPr>
          <w:rFonts w:ascii="Source Sans Pro" w:hAnsi="Source Sans Pro" w:cs="Source Sans Pro"/>
          <w:sz w:val="22"/>
          <w:szCs w:val="22"/>
        </w:rPr>
        <w:t xml:space="preserve">in Höhe </w:t>
      </w:r>
      <w:r w:rsidR="0042270C">
        <w:rPr>
          <w:rFonts w:ascii="Source Sans Pro" w:hAnsi="Source Sans Pro" w:cs="Source Sans Pro"/>
          <w:sz w:val="22"/>
          <w:szCs w:val="22"/>
        </w:rPr>
        <w:t>v</w:t>
      </w:r>
      <w:r w:rsidR="00156B89" w:rsidRPr="0042270C">
        <w:rPr>
          <w:rFonts w:ascii="Source Sans Pro" w:hAnsi="Source Sans Pro" w:cs="Source Sans Pro"/>
          <w:sz w:val="22"/>
          <w:szCs w:val="22"/>
        </w:rPr>
        <w:t xml:space="preserve">on </w:t>
      </w:r>
      <w:r w:rsidR="0042270C" w:rsidRPr="0042270C">
        <w:rPr>
          <w:rFonts w:ascii="Source Sans Pro" w:hAnsi="Source Sans Pro" w:cs="Source Sans Pro"/>
          <w:sz w:val="22"/>
          <w:szCs w:val="22"/>
        </w:rPr>
        <w:t xml:space="preserve">lediglich </w:t>
      </w:r>
      <w:r w:rsidR="00AF7E7F" w:rsidRPr="0042270C">
        <w:rPr>
          <w:rFonts w:ascii="Source Sans Pro" w:hAnsi="Source Sans Pro" w:cs="Source Sans Pro"/>
          <w:sz w:val="22"/>
          <w:szCs w:val="22"/>
        </w:rPr>
        <w:t>rund</w:t>
      </w:r>
      <w:r w:rsidR="00F900AB" w:rsidRPr="0042270C">
        <w:rPr>
          <w:rFonts w:ascii="Source Sans Pro" w:hAnsi="Source Sans Pro" w:cs="Source Sans Pro"/>
          <w:sz w:val="22"/>
          <w:szCs w:val="22"/>
        </w:rPr>
        <w:t xml:space="preserve"> 4,4 Mrd. €</w:t>
      </w:r>
      <w:r w:rsidR="0042270C">
        <w:rPr>
          <w:rFonts w:ascii="Source Sans Pro" w:hAnsi="Source Sans Pro" w:cs="Source Sans Pro"/>
          <w:sz w:val="22"/>
          <w:szCs w:val="22"/>
        </w:rPr>
        <w:t xml:space="preserve"> </w:t>
      </w:r>
      <w:r w:rsidR="00D7556F">
        <w:rPr>
          <w:rFonts w:ascii="Source Sans Pro" w:hAnsi="Source Sans Pro" w:cs="Source Sans Pro"/>
          <w:sz w:val="22"/>
          <w:szCs w:val="22"/>
        </w:rPr>
        <w:t>den Besitzer</w:t>
      </w:r>
      <w:r w:rsidR="00E527FB">
        <w:rPr>
          <w:rFonts w:ascii="Source Sans Pro" w:hAnsi="Source Sans Pro" w:cs="Source Sans Pro"/>
          <w:sz w:val="22"/>
          <w:szCs w:val="22"/>
        </w:rPr>
        <w:t xml:space="preserve">, was einem TAV-Rückgang von </w:t>
      </w:r>
      <w:r w:rsidR="0042270C">
        <w:rPr>
          <w:rFonts w:ascii="Source Sans Pro" w:hAnsi="Source Sans Pro" w:cs="Source Sans Pro"/>
          <w:sz w:val="22"/>
          <w:szCs w:val="22"/>
        </w:rPr>
        <w:t xml:space="preserve">rund </w:t>
      </w:r>
      <w:r w:rsidR="0042270C" w:rsidRPr="0042270C">
        <w:rPr>
          <w:rFonts w:ascii="Source Sans Pro" w:hAnsi="Source Sans Pro" w:cs="Source Sans Pro"/>
          <w:sz w:val="22"/>
          <w:szCs w:val="22"/>
        </w:rPr>
        <w:t xml:space="preserve">52 % </w:t>
      </w:r>
      <w:r w:rsidR="00E527FB">
        <w:rPr>
          <w:rFonts w:ascii="Source Sans Pro" w:hAnsi="Source Sans Pro" w:cs="Source Sans Pro"/>
          <w:sz w:val="22"/>
          <w:szCs w:val="22"/>
        </w:rPr>
        <w:t xml:space="preserve">gegenüber </w:t>
      </w:r>
      <w:r w:rsidR="0042270C">
        <w:rPr>
          <w:rFonts w:ascii="Source Sans Pro" w:hAnsi="Source Sans Pro" w:cs="Source Sans Pro"/>
          <w:sz w:val="22"/>
          <w:szCs w:val="22"/>
        </w:rPr>
        <w:t>dem Vorjahreszeitraum</w:t>
      </w:r>
      <w:r w:rsidR="0042270C" w:rsidRPr="0042270C">
        <w:rPr>
          <w:rFonts w:ascii="Source Sans Pro" w:hAnsi="Source Sans Pro" w:cs="Source Sans Pro"/>
          <w:sz w:val="22"/>
          <w:szCs w:val="22"/>
        </w:rPr>
        <w:t xml:space="preserve"> (9 Mrd. €)</w:t>
      </w:r>
      <w:r w:rsidR="00E527FB">
        <w:rPr>
          <w:rFonts w:ascii="Source Sans Pro" w:hAnsi="Source Sans Pro" w:cs="Source Sans Pro"/>
          <w:sz w:val="22"/>
          <w:szCs w:val="22"/>
        </w:rPr>
        <w:t xml:space="preserve"> entspricht</w:t>
      </w:r>
      <w:r w:rsidR="0042270C" w:rsidRPr="0042270C">
        <w:rPr>
          <w:rFonts w:ascii="Source Sans Pro" w:hAnsi="Source Sans Pro" w:cs="Source Sans Pro"/>
          <w:sz w:val="22"/>
          <w:szCs w:val="22"/>
        </w:rPr>
        <w:t xml:space="preserve">. </w:t>
      </w:r>
      <w:r w:rsidR="0042270C">
        <w:rPr>
          <w:rFonts w:ascii="Source Sans Pro" w:hAnsi="Source Sans Pro" w:cs="Source Sans Pro"/>
          <w:sz w:val="22"/>
          <w:szCs w:val="22"/>
        </w:rPr>
        <w:t xml:space="preserve">Ein niedrigerer Wert für ein 2. Quartal wurde zuletzt 2014 </w:t>
      </w:r>
      <w:r w:rsidR="0042270C" w:rsidRPr="0042270C">
        <w:rPr>
          <w:rFonts w:ascii="Source Sans Pro" w:hAnsi="Source Sans Pro" w:cs="Source Sans Pro"/>
          <w:sz w:val="22"/>
          <w:szCs w:val="22"/>
        </w:rPr>
        <w:t xml:space="preserve">(4,2 Mrd. €) </w:t>
      </w:r>
      <w:r w:rsidR="0042270C">
        <w:rPr>
          <w:rFonts w:ascii="Source Sans Pro" w:hAnsi="Source Sans Pro" w:cs="Source Sans Pro"/>
          <w:sz w:val="22"/>
          <w:szCs w:val="22"/>
        </w:rPr>
        <w:t>registriert.</w:t>
      </w:r>
    </w:p>
    <w:p w14:paraId="27D9C7C2" w14:textId="77777777" w:rsidR="0042270C" w:rsidRDefault="0042270C" w:rsidP="00EE60C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727A0E56" w14:textId="46543749" w:rsidR="00EE60C7" w:rsidRPr="00F900AB" w:rsidRDefault="00D75E21" w:rsidP="00EE60C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 w:rsidRPr="0042270C">
        <w:rPr>
          <w:rFonts w:ascii="Source Sans Pro" w:hAnsi="Source Sans Pro" w:cs="Source Sans Pro"/>
          <w:sz w:val="22"/>
          <w:szCs w:val="22"/>
        </w:rPr>
        <w:t>Dies erg</w:t>
      </w:r>
      <w:r w:rsidR="00D64CC4" w:rsidRPr="0042270C">
        <w:rPr>
          <w:rFonts w:ascii="Source Sans Pro" w:hAnsi="Source Sans Pro" w:cs="Source Sans Pro"/>
          <w:sz w:val="22"/>
          <w:szCs w:val="22"/>
        </w:rPr>
        <w:t>a</w:t>
      </w:r>
      <w:r w:rsidRPr="0042270C">
        <w:rPr>
          <w:rFonts w:ascii="Source Sans Pro" w:hAnsi="Source Sans Pro" w:cs="Source Sans Pro"/>
          <w:sz w:val="22"/>
          <w:szCs w:val="22"/>
        </w:rPr>
        <w:t xml:space="preserve">ben Analysen </w:t>
      </w:r>
      <w:r w:rsidR="004C10E2" w:rsidRPr="0042270C">
        <w:rPr>
          <w:rFonts w:ascii="Source Sans Pro" w:hAnsi="Source Sans Pro" w:cs="Source Sans Pro"/>
          <w:sz w:val="22"/>
          <w:szCs w:val="22"/>
        </w:rPr>
        <w:t>von</w:t>
      </w:r>
      <w:r w:rsidR="00EE60C7" w:rsidRPr="0042270C">
        <w:rPr>
          <w:rFonts w:ascii="Source Sans Pro" w:hAnsi="Source Sans Pro" w:cs="Source Sans Pro"/>
          <w:sz w:val="22"/>
          <w:szCs w:val="22"/>
        </w:rPr>
        <w:t xml:space="preserve"> </w:t>
      </w:r>
      <w:r w:rsidRPr="0042270C">
        <w:rPr>
          <w:rFonts w:ascii="Source Sans Pro" w:hAnsi="Source Sans Pro" w:cs="Source Sans Pro"/>
          <w:sz w:val="22"/>
          <w:szCs w:val="22"/>
        </w:rPr>
        <w:t>German Property Partners (GPP), dem</w:t>
      </w:r>
      <w:r w:rsidR="004C10E2" w:rsidRPr="0042270C">
        <w:rPr>
          <w:rFonts w:ascii="Source Sans Pro" w:hAnsi="Source Sans Pro" w:cs="Source Sans Pro"/>
          <w:sz w:val="22"/>
          <w:szCs w:val="22"/>
        </w:rPr>
        <w:t xml:space="preserve"> Gewerbeimmobiliennetz</w:t>
      </w:r>
      <w:r w:rsidR="004C10E2">
        <w:rPr>
          <w:rFonts w:ascii="Source Sans Pro" w:hAnsi="Source Sans Pro" w:cs="Source Sans Pro"/>
          <w:sz w:val="22"/>
          <w:szCs w:val="22"/>
        </w:rPr>
        <w:t>werk von</w:t>
      </w:r>
      <w:r>
        <w:rPr>
          <w:rFonts w:ascii="Source Sans Pro" w:hAnsi="Source Sans Pro" w:cs="Source Sans Pro"/>
          <w:sz w:val="22"/>
          <w:szCs w:val="22"/>
        </w:rPr>
        <w:t xml:space="preserve"> </w:t>
      </w:r>
      <w:r w:rsidR="00EE60C7" w:rsidRPr="00EB1611">
        <w:rPr>
          <w:rFonts w:ascii="Source Sans Pro" w:hAnsi="Source Sans Pro" w:cs="Arial"/>
          <w:bCs/>
          <w:sz w:val="22"/>
          <w:szCs w:val="22"/>
        </w:rPr>
        <w:t>Grossmann &amp; Berger, Anteon Immobilien, GREIF &amp; CONTZEN Immobilien, b</w:t>
      </w:r>
      <w:r w:rsidR="00EE60C7">
        <w:rPr>
          <w:rFonts w:ascii="Source Sans Pro" w:hAnsi="Source Sans Pro" w:cs="Arial"/>
          <w:bCs/>
          <w:sz w:val="22"/>
          <w:szCs w:val="22"/>
        </w:rPr>
        <w:t>lackolive und E &amp; G Real Estate.</w:t>
      </w:r>
    </w:p>
    <w:p w14:paraId="0423D186" w14:textId="7F143BF9" w:rsidR="00895E64" w:rsidRDefault="00EE60C7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 </w:t>
      </w:r>
    </w:p>
    <w:p w14:paraId="0E4CB111" w14:textId="20736168" w:rsidR="00A85640" w:rsidRPr="00895E64" w:rsidRDefault="00A174C8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Hohe Zinsen </w:t>
      </w:r>
      <w:r w:rsidR="00156B89">
        <w:rPr>
          <w:rFonts w:ascii="Source Sans Pro" w:hAnsi="Source Sans Pro" w:cs="Source Sans Pro"/>
          <w:caps/>
          <w:color w:val="0086A8"/>
          <w:sz w:val="22"/>
          <w:szCs w:val="22"/>
        </w:rPr>
        <w:t>DROSSELN</w:t>
      </w: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TRANSAKTIONSDYNAMIK  </w:t>
      </w:r>
      <w:r w:rsidR="0011143B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1B1AE11" w14:textId="5EE2C64E" w:rsidR="001D0F2C" w:rsidRDefault="00AF7E7F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 w:rsidRPr="00476554">
        <w:rPr>
          <w:rFonts w:ascii="Source Sans Pro" w:hAnsi="Source Sans Pro" w:cs="Source Sans Pro"/>
          <w:i/>
          <w:sz w:val="22"/>
          <w:szCs w:val="22"/>
        </w:rPr>
        <w:t>„</w:t>
      </w:r>
      <w:r w:rsidR="005845EB">
        <w:rPr>
          <w:rFonts w:ascii="Source Sans Pro" w:hAnsi="Source Sans Pro" w:cs="Source Sans Pro"/>
          <w:i/>
          <w:sz w:val="22"/>
          <w:szCs w:val="22"/>
        </w:rPr>
        <w:t xml:space="preserve">Viele </w:t>
      </w:r>
      <w:r w:rsidRPr="006F3DDE">
        <w:rPr>
          <w:rFonts w:ascii="Source Sans Pro" w:hAnsi="Source Sans Pro" w:cs="Source Sans Pro"/>
          <w:i/>
          <w:sz w:val="22"/>
          <w:szCs w:val="22"/>
        </w:rPr>
        <w:t>Investoren</w:t>
      </w:r>
      <w:r w:rsidR="006F3DDE">
        <w:rPr>
          <w:rFonts w:ascii="Source Sans Pro" w:hAnsi="Source Sans Pro" w:cs="Source Sans Pro"/>
          <w:i/>
          <w:sz w:val="22"/>
          <w:szCs w:val="22"/>
        </w:rPr>
        <w:t xml:space="preserve"> müssen angesichts der </w:t>
      </w:r>
      <w:r w:rsidRPr="006F3DDE">
        <w:rPr>
          <w:rFonts w:ascii="Source Sans Pro" w:hAnsi="Source Sans Pro" w:cs="Source Sans Pro"/>
          <w:i/>
          <w:sz w:val="22"/>
          <w:szCs w:val="22"/>
        </w:rPr>
        <w:t xml:space="preserve">gestiegenen Finanzierungskosten </w:t>
      </w:r>
      <w:r w:rsidR="006F3DDE">
        <w:rPr>
          <w:rFonts w:ascii="Source Sans Pro" w:hAnsi="Source Sans Pro" w:cs="Source Sans Pro"/>
          <w:i/>
          <w:sz w:val="22"/>
          <w:szCs w:val="22"/>
        </w:rPr>
        <w:t xml:space="preserve">neu kalkulieren und reduzieren in der Folge </w:t>
      </w:r>
      <w:r w:rsidR="006F3DDE" w:rsidRPr="006F3DDE">
        <w:rPr>
          <w:rFonts w:ascii="Source Sans Pro" w:hAnsi="Source Sans Pro" w:cs="Source Sans Pro"/>
          <w:i/>
          <w:sz w:val="22"/>
          <w:szCs w:val="22"/>
        </w:rPr>
        <w:t>ihre Investitionsbereitschaft</w:t>
      </w:r>
      <w:r w:rsidRPr="006F3DDE">
        <w:rPr>
          <w:rFonts w:ascii="Source Sans Pro" w:hAnsi="Source Sans Pro" w:cs="Source Sans Pro"/>
          <w:i/>
          <w:sz w:val="22"/>
          <w:szCs w:val="22"/>
        </w:rPr>
        <w:t xml:space="preserve">. Die </w:t>
      </w:r>
      <w:r w:rsidR="005845EB">
        <w:rPr>
          <w:rFonts w:ascii="Source Sans Pro" w:hAnsi="Source Sans Pro" w:cs="Source Sans Pro"/>
          <w:i/>
          <w:sz w:val="22"/>
          <w:szCs w:val="22"/>
        </w:rPr>
        <w:t>erheblichen Schwankungen</w:t>
      </w:r>
      <w:r w:rsidRPr="006F3DDE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5845EB">
        <w:rPr>
          <w:rFonts w:ascii="Source Sans Pro" w:hAnsi="Source Sans Pro" w:cs="Source Sans Pro"/>
          <w:i/>
          <w:sz w:val="22"/>
          <w:szCs w:val="22"/>
        </w:rPr>
        <w:t xml:space="preserve">der </w:t>
      </w:r>
      <w:r w:rsidRPr="006F3DDE">
        <w:rPr>
          <w:rFonts w:ascii="Source Sans Pro" w:hAnsi="Source Sans Pro" w:cs="Source Sans Pro"/>
          <w:i/>
          <w:sz w:val="22"/>
          <w:szCs w:val="22"/>
        </w:rPr>
        <w:t>Zinssätze mach</w:t>
      </w:r>
      <w:r w:rsidR="005845EB">
        <w:rPr>
          <w:rFonts w:ascii="Source Sans Pro" w:hAnsi="Source Sans Pro" w:cs="Source Sans Pro"/>
          <w:i/>
          <w:sz w:val="22"/>
          <w:szCs w:val="22"/>
        </w:rPr>
        <w:t>en</w:t>
      </w:r>
      <w:r w:rsidRPr="006F3DDE">
        <w:rPr>
          <w:rFonts w:ascii="Source Sans Pro" w:hAnsi="Source Sans Pro" w:cs="Source Sans Pro"/>
          <w:i/>
          <w:sz w:val="22"/>
          <w:szCs w:val="22"/>
        </w:rPr>
        <w:t xml:space="preserve"> Investments außerdem schwer</w:t>
      </w:r>
      <w:r w:rsidRPr="00476554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1D0F2C">
        <w:rPr>
          <w:rFonts w:ascii="Source Sans Pro" w:hAnsi="Source Sans Pro" w:cs="Source Sans Pro"/>
          <w:i/>
          <w:sz w:val="22"/>
          <w:szCs w:val="22"/>
        </w:rPr>
        <w:t>plan</w:t>
      </w:r>
      <w:r w:rsidRPr="00476554">
        <w:rPr>
          <w:rFonts w:ascii="Source Sans Pro" w:hAnsi="Source Sans Pro" w:cs="Source Sans Pro"/>
          <w:i/>
          <w:sz w:val="22"/>
          <w:szCs w:val="22"/>
        </w:rPr>
        <w:t xml:space="preserve">bar. </w:t>
      </w:r>
      <w:r w:rsidR="00A02C80">
        <w:rPr>
          <w:rFonts w:ascii="Source Sans Pro" w:hAnsi="Source Sans Pro" w:cs="Source Sans Pro"/>
          <w:i/>
          <w:sz w:val="22"/>
          <w:szCs w:val="22"/>
        </w:rPr>
        <w:t xml:space="preserve">Die </w:t>
      </w:r>
      <w:r w:rsidRPr="00476554">
        <w:rPr>
          <w:rFonts w:ascii="Source Sans Pro" w:hAnsi="Source Sans Pro" w:cs="Source Sans Pro"/>
          <w:i/>
          <w:sz w:val="22"/>
          <w:szCs w:val="22"/>
        </w:rPr>
        <w:t xml:space="preserve">Verkäufer hingegen halten noch an ihren hohen </w:t>
      </w:r>
      <w:r>
        <w:rPr>
          <w:rFonts w:ascii="Source Sans Pro" w:hAnsi="Source Sans Pro" w:cs="Source Sans Pro"/>
          <w:i/>
          <w:sz w:val="22"/>
          <w:szCs w:val="22"/>
        </w:rPr>
        <w:t>P</w:t>
      </w:r>
      <w:r w:rsidRPr="00476554">
        <w:rPr>
          <w:rFonts w:ascii="Source Sans Pro" w:hAnsi="Source Sans Pro" w:cs="Source Sans Pro"/>
          <w:i/>
          <w:sz w:val="22"/>
          <w:szCs w:val="22"/>
        </w:rPr>
        <w:t>reiserwartungen fest</w:t>
      </w:r>
      <w:r w:rsidR="00322436">
        <w:rPr>
          <w:rFonts w:ascii="Source Sans Pro" w:hAnsi="Source Sans Pro" w:cs="Source Sans Pro"/>
          <w:i/>
          <w:sz w:val="22"/>
          <w:szCs w:val="22"/>
        </w:rPr>
        <w:t xml:space="preserve">. Dies führt dazu, dass </w:t>
      </w:r>
      <w:r w:rsidR="005845EB">
        <w:rPr>
          <w:rFonts w:ascii="Source Sans Pro" w:hAnsi="Source Sans Pro" w:cs="Source Sans Pro"/>
          <w:i/>
          <w:sz w:val="22"/>
          <w:szCs w:val="22"/>
        </w:rPr>
        <w:t>v</w:t>
      </w:r>
      <w:r w:rsidR="005845EB" w:rsidRPr="00476554">
        <w:rPr>
          <w:rFonts w:ascii="Source Sans Pro" w:hAnsi="Source Sans Pro" w:cs="Source Sans Pro"/>
          <w:i/>
          <w:sz w:val="22"/>
          <w:szCs w:val="22"/>
        </w:rPr>
        <w:t xml:space="preserve">iele laufende Prozesse derzeit </w:t>
      </w:r>
      <w:r w:rsidR="005845EB">
        <w:rPr>
          <w:rFonts w:ascii="Source Sans Pro" w:hAnsi="Source Sans Pro" w:cs="Source Sans Pro"/>
          <w:i/>
          <w:sz w:val="22"/>
          <w:szCs w:val="22"/>
        </w:rPr>
        <w:t>unterbrochen und aufgeschoben werden</w:t>
      </w:r>
      <w:r w:rsidRPr="00476554">
        <w:rPr>
          <w:rFonts w:ascii="Source Sans Pro" w:hAnsi="Source Sans Pro" w:cs="Source Sans Pro"/>
          <w:i/>
          <w:sz w:val="22"/>
          <w:szCs w:val="22"/>
        </w:rPr>
        <w:t>“,</w:t>
      </w:r>
      <w:r>
        <w:rPr>
          <w:rFonts w:ascii="Source Sans Pro" w:hAnsi="Source Sans Pro" w:cs="Source Sans Pro"/>
          <w:sz w:val="22"/>
          <w:szCs w:val="22"/>
        </w:rPr>
        <w:t xml:space="preserve"> erläutert GPP-Sprecher </w:t>
      </w:r>
      <w:r w:rsidRPr="00B53D59">
        <w:rPr>
          <w:rFonts w:ascii="Source Sans Pro" w:hAnsi="Source Sans Pro" w:cs="Source Sans Pro"/>
          <w:b/>
          <w:sz w:val="22"/>
          <w:szCs w:val="22"/>
        </w:rPr>
        <w:t xml:space="preserve">Andreas </w:t>
      </w:r>
      <w:r w:rsidRPr="00476554">
        <w:rPr>
          <w:rFonts w:ascii="Source Sans Pro" w:hAnsi="Source Sans Pro" w:cs="Source Sans Pro"/>
          <w:b/>
          <w:sz w:val="22"/>
          <w:szCs w:val="22"/>
        </w:rPr>
        <w:t>Rehberg</w:t>
      </w:r>
      <w:r>
        <w:rPr>
          <w:rFonts w:ascii="Source Sans Pro" w:hAnsi="Source Sans Pro" w:cs="Source Sans Pro"/>
          <w:sz w:val="22"/>
          <w:szCs w:val="22"/>
        </w:rPr>
        <w:t xml:space="preserve"> die aktuelle Lage. </w:t>
      </w:r>
    </w:p>
    <w:p w14:paraId="76C0C06A" w14:textId="77AE3845" w:rsidR="00AF7E7F" w:rsidRDefault="00AF7E7F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 </w:t>
      </w:r>
    </w:p>
    <w:p w14:paraId="57A994BD" w14:textId="5A3DA69A" w:rsidR="00BF5E1D" w:rsidRDefault="00322436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lastRenderedPageBreak/>
        <w:t>Diese Herausforderung spiegelt sich unterschiedlich stark in den Halbjahresergebnissen der einzelnen Standorte wider. TAV-Rückg</w:t>
      </w:r>
      <w:r w:rsidR="00216C8D">
        <w:rPr>
          <w:rFonts w:ascii="Source Sans Pro" w:hAnsi="Source Sans Pro" w:cs="Source Sans Pro"/>
          <w:sz w:val="22"/>
          <w:szCs w:val="22"/>
        </w:rPr>
        <w:t>ä</w:t>
      </w:r>
      <w:r>
        <w:rPr>
          <w:rFonts w:ascii="Source Sans Pro" w:hAnsi="Source Sans Pro" w:cs="Source Sans Pro"/>
          <w:sz w:val="22"/>
          <w:szCs w:val="22"/>
        </w:rPr>
        <w:t xml:space="preserve">nge </w:t>
      </w:r>
      <w:r w:rsidR="00A02C80">
        <w:rPr>
          <w:rFonts w:ascii="Source Sans Pro" w:hAnsi="Source Sans Pro" w:cs="Source Sans Pro"/>
          <w:sz w:val="22"/>
          <w:szCs w:val="22"/>
        </w:rPr>
        <w:t xml:space="preserve">im Vergleich zum Vorjahresquartal </w:t>
      </w:r>
      <w:r>
        <w:rPr>
          <w:rFonts w:ascii="Source Sans Pro" w:hAnsi="Source Sans Pro" w:cs="Source Sans Pro"/>
          <w:sz w:val="22"/>
          <w:szCs w:val="22"/>
        </w:rPr>
        <w:t xml:space="preserve">verzeichnen das </w:t>
      </w:r>
      <w:r w:rsidR="008D1590">
        <w:rPr>
          <w:rFonts w:ascii="Source Sans Pro" w:hAnsi="Source Sans Pro" w:cs="Source Sans Pro"/>
          <w:sz w:val="22"/>
          <w:szCs w:val="22"/>
        </w:rPr>
        <w:t xml:space="preserve">als einziger Top-7-Standort </w:t>
      </w:r>
      <w:r>
        <w:rPr>
          <w:rFonts w:ascii="Source Sans Pro" w:hAnsi="Source Sans Pro" w:cs="Source Sans Pro"/>
          <w:sz w:val="22"/>
          <w:szCs w:val="22"/>
        </w:rPr>
        <w:t>nicht von dem alstria-Sondereffekt profitierende München (-57 %)</w:t>
      </w:r>
      <w:r w:rsidR="00A02C80">
        <w:rPr>
          <w:rFonts w:ascii="Source Sans Pro" w:hAnsi="Source Sans Pro" w:cs="Source Sans Pro"/>
          <w:sz w:val="22"/>
          <w:szCs w:val="22"/>
        </w:rPr>
        <w:t xml:space="preserve"> sowie</w:t>
      </w:r>
      <w:r>
        <w:rPr>
          <w:rFonts w:ascii="Source Sans Pro" w:hAnsi="Source Sans Pro" w:cs="Source Sans Pro"/>
          <w:sz w:val="22"/>
          <w:szCs w:val="22"/>
        </w:rPr>
        <w:t xml:space="preserve"> Köln (-25 %) und Berlin (-5 %). Hamburg (</w:t>
      </w:r>
      <w:r w:rsidR="00A02C80">
        <w:rPr>
          <w:rFonts w:ascii="Source Sans Pro" w:hAnsi="Source Sans Pro" w:cs="Source Sans Pro"/>
          <w:sz w:val="22"/>
          <w:szCs w:val="22"/>
        </w:rPr>
        <w:t xml:space="preserve">+111 %), Frankfurt (+75 %), </w:t>
      </w:r>
      <w:r>
        <w:rPr>
          <w:rFonts w:ascii="Source Sans Pro" w:hAnsi="Source Sans Pro" w:cs="Source Sans Pro"/>
          <w:sz w:val="22"/>
          <w:szCs w:val="22"/>
        </w:rPr>
        <w:t xml:space="preserve">Düsseldorf (+61 %) </w:t>
      </w:r>
      <w:r w:rsidR="00A02C80">
        <w:rPr>
          <w:rFonts w:ascii="Source Sans Pro" w:hAnsi="Source Sans Pro" w:cs="Source Sans Pro"/>
          <w:sz w:val="22"/>
          <w:szCs w:val="22"/>
        </w:rPr>
        <w:t xml:space="preserve">und Stuttgart (+43 %) </w:t>
      </w:r>
      <w:r>
        <w:rPr>
          <w:rFonts w:ascii="Source Sans Pro" w:hAnsi="Source Sans Pro" w:cs="Source Sans Pro"/>
          <w:sz w:val="22"/>
          <w:szCs w:val="22"/>
        </w:rPr>
        <w:t>konnten ihr Vorjahreserge</w:t>
      </w:r>
      <w:r w:rsidR="00075C3C">
        <w:rPr>
          <w:rFonts w:ascii="Source Sans Pro" w:hAnsi="Source Sans Pro" w:cs="Source Sans Pro"/>
          <w:sz w:val="22"/>
          <w:szCs w:val="22"/>
        </w:rPr>
        <w:t xml:space="preserve">bnis aufgrund großvolumiger Deals </w:t>
      </w:r>
      <w:r w:rsidR="00216C8D">
        <w:rPr>
          <w:rFonts w:ascii="Source Sans Pro" w:hAnsi="Source Sans Pro" w:cs="Source Sans Pro"/>
          <w:sz w:val="22"/>
          <w:szCs w:val="22"/>
        </w:rPr>
        <w:t xml:space="preserve">und des Sondereffekts </w:t>
      </w:r>
      <w:r w:rsidR="00075C3C">
        <w:rPr>
          <w:rFonts w:ascii="Source Sans Pro" w:hAnsi="Source Sans Pro" w:cs="Source Sans Pro"/>
          <w:sz w:val="22"/>
          <w:szCs w:val="22"/>
        </w:rPr>
        <w:t xml:space="preserve">zu Jahresanfang </w:t>
      </w:r>
      <w:r w:rsidR="001208CE">
        <w:rPr>
          <w:rFonts w:ascii="Source Sans Pro" w:hAnsi="Source Sans Pro" w:cs="Source Sans Pro"/>
          <w:sz w:val="22"/>
          <w:szCs w:val="22"/>
        </w:rPr>
        <w:t>sogar</w:t>
      </w:r>
      <w:r w:rsidR="00143DF8">
        <w:rPr>
          <w:rFonts w:ascii="Source Sans Pro" w:hAnsi="Source Sans Pro" w:cs="Source Sans Pro"/>
          <w:sz w:val="22"/>
          <w:szCs w:val="22"/>
        </w:rPr>
        <w:t xml:space="preserve"> </w:t>
      </w:r>
      <w:r>
        <w:rPr>
          <w:rFonts w:ascii="Source Sans Pro" w:hAnsi="Source Sans Pro" w:cs="Source Sans Pro"/>
          <w:sz w:val="22"/>
          <w:szCs w:val="22"/>
        </w:rPr>
        <w:t>überbieten</w:t>
      </w:r>
      <w:r w:rsidR="00980994">
        <w:rPr>
          <w:rFonts w:ascii="Source Sans Pro" w:hAnsi="Source Sans Pro" w:cs="Source Sans Pro"/>
          <w:sz w:val="22"/>
          <w:szCs w:val="22"/>
        </w:rPr>
        <w:t>.</w:t>
      </w:r>
      <w:r>
        <w:rPr>
          <w:rFonts w:ascii="Source Sans Pro" w:hAnsi="Source Sans Pro" w:cs="Source Sans Pro"/>
          <w:sz w:val="22"/>
          <w:szCs w:val="22"/>
        </w:rPr>
        <w:t xml:space="preserve"> </w:t>
      </w:r>
      <w:r w:rsidR="00980994">
        <w:rPr>
          <w:rFonts w:ascii="Source Sans Pro" w:hAnsi="Source Sans Pro" w:cs="Source Sans Pro"/>
          <w:sz w:val="22"/>
          <w:szCs w:val="22"/>
        </w:rPr>
        <w:t>K</w:t>
      </w:r>
      <w:r>
        <w:rPr>
          <w:rFonts w:ascii="Source Sans Pro" w:hAnsi="Source Sans Pro" w:cs="Source Sans Pro"/>
          <w:sz w:val="22"/>
          <w:szCs w:val="22"/>
        </w:rPr>
        <w:t xml:space="preserve">lammert man das 1. Quartal jedoch </w:t>
      </w:r>
      <w:r w:rsidR="001D0F2C">
        <w:rPr>
          <w:rFonts w:ascii="Source Sans Pro" w:hAnsi="Source Sans Pro" w:cs="Source Sans Pro"/>
          <w:sz w:val="22"/>
          <w:szCs w:val="22"/>
        </w:rPr>
        <w:t xml:space="preserve">erneut </w:t>
      </w:r>
      <w:r>
        <w:rPr>
          <w:rFonts w:ascii="Source Sans Pro" w:hAnsi="Source Sans Pro" w:cs="Source Sans Pro"/>
          <w:sz w:val="22"/>
          <w:szCs w:val="22"/>
        </w:rPr>
        <w:t xml:space="preserve">aus der Betrachtung aus, </w:t>
      </w:r>
      <w:r w:rsidR="00931F65">
        <w:rPr>
          <w:rFonts w:ascii="Source Sans Pro" w:hAnsi="Source Sans Pro" w:cs="Source Sans Pro"/>
          <w:sz w:val="22"/>
          <w:szCs w:val="22"/>
        </w:rPr>
        <w:t xml:space="preserve">so </w:t>
      </w:r>
      <w:r w:rsidR="00143DF8">
        <w:rPr>
          <w:rFonts w:ascii="Source Sans Pro" w:hAnsi="Source Sans Pro" w:cs="Source Sans Pro"/>
          <w:sz w:val="22"/>
          <w:szCs w:val="22"/>
        </w:rPr>
        <w:t>verzeichne</w:t>
      </w:r>
      <w:r w:rsidR="00C7165C">
        <w:rPr>
          <w:rFonts w:ascii="Source Sans Pro" w:hAnsi="Source Sans Pro" w:cs="Source Sans Pro"/>
          <w:sz w:val="22"/>
          <w:szCs w:val="22"/>
        </w:rPr>
        <w:t>n</w:t>
      </w:r>
      <w:r w:rsidR="00931F65">
        <w:rPr>
          <w:rFonts w:ascii="Source Sans Pro" w:hAnsi="Source Sans Pro" w:cs="Source Sans Pro"/>
          <w:sz w:val="22"/>
          <w:szCs w:val="22"/>
        </w:rPr>
        <w:t xml:space="preserve"> </w:t>
      </w:r>
      <w:r w:rsidR="00CD1392">
        <w:rPr>
          <w:rFonts w:ascii="Source Sans Pro" w:hAnsi="Source Sans Pro" w:cs="Source Sans Pro"/>
          <w:sz w:val="22"/>
          <w:szCs w:val="22"/>
        </w:rPr>
        <w:t xml:space="preserve">im 2. Quartal </w:t>
      </w:r>
      <w:r w:rsidR="00931F65">
        <w:rPr>
          <w:rFonts w:ascii="Source Sans Pro" w:hAnsi="Source Sans Pro" w:cs="Source Sans Pro"/>
          <w:sz w:val="22"/>
          <w:szCs w:val="22"/>
        </w:rPr>
        <w:t xml:space="preserve">lediglich </w:t>
      </w:r>
      <w:r w:rsidR="00A02C80">
        <w:rPr>
          <w:rFonts w:ascii="Source Sans Pro" w:hAnsi="Source Sans Pro" w:cs="Source Sans Pro"/>
          <w:sz w:val="22"/>
          <w:szCs w:val="22"/>
        </w:rPr>
        <w:t xml:space="preserve">noch </w:t>
      </w:r>
      <w:r w:rsidR="00931F65">
        <w:rPr>
          <w:rFonts w:ascii="Source Sans Pro" w:hAnsi="Source Sans Pro" w:cs="Source Sans Pro"/>
          <w:sz w:val="22"/>
          <w:szCs w:val="22"/>
        </w:rPr>
        <w:t xml:space="preserve">Frankfurt (+20 %) und Hamburg (+3 %) </w:t>
      </w:r>
      <w:r w:rsidR="001D0F2C">
        <w:rPr>
          <w:rFonts w:ascii="Source Sans Pro" w:hAnsi="Source Sans Pro" w:cs="Source Sans Pro"/>
          <w:sz w:val="22"/>
          <w:szCs w:val="22"/>
        </w:rPr>
        <w:t xml:space="preserve">aufgrund der verhaltenen Vorjahresergebnisse </w:t>
      </w:r>
      <w:r w:rsidR="00143DF8">
        <w:rPr>
          <w:rFonts w:ascii="Source Sans Pro" w:hAnsi="Source Sans Pro" w:cs="Source Sans Pro"/>
          <w:sz w:val="22"/>
          <w:szCs w:val="22"/>
        </w:rPr>
        <w:t>Zuwächse</w:t>
      </w:r>
      <w:r w:rsidR="00A622E9">
        <w:rPr>
          <w:rFonts w:ascii="Source Sans Pro" w:hAnsi="Source Sans Pro" w:cs="Source Sans Pro"/>
          <w:sz w:val="22"/>
          <w:szCs w:val="22"/>
        </w:rPr>
        <w:t xml:space="preserve">, während </w:t>
      </w:r>
      <w:r w:rsidR="00A02C80">
        <w:rPr>
          <w:rFonts w:ascii="Source Sans Pro" w:hAnsi="Source Sans Pro" w:cs="Source Sans Pro"/>
          <w:sz w:val="22"/>
          <w:szCs w:val="22"/>
        </w:rPr>
        <w:t>alle</w:t>
      </w:r>
      <w:r w:rsidR="00A622E9">
        <w:rPr>
          <w:rFonts w:ascii="Source Sans Pro" w:hAnsi="Source Sans Pro" w:cs="Source Sans Pro"/>
          <w:sz w:val="22"/>
          <w:szCs w:val="22"/>
        </w:rPr>
        <w:t xml:space="preserve"> anderen </w:t>
      </w:r>
      <w:r w:rsidR="00075C3C">
        <w:rPr>
          <w:rFonts w:ascii="Source Sans Pro" w:hAnsi="Source Sans Pro" w:cs="Source Sans Pro"/>
          <w:sz w:val="22"/>
          <w:szCs w:val="22"/>
        </w:rPr>
        <w:t>Top-7-</w:t>
      </w:r>
      <w:r w:rsidR="00A622E9">
        <w:rPr>
          <w:rFonts w:ascii="Source Sans Pro" w:hAnsi="Source Sans Pro" w:cs="Source Sans Pro"/>
          <w:sz w:val="22"/>
          <w:szCs w:val="22"/>
        </w:rPr>
        <w:t xml:space="preserve">Standorte deutliche </w:t>
      </w:r>
      <w:r w:rsidR="005B572B">
        <w:rPr>
          <w:rFonts w:ascii="Source Sans Pro" w:hAnsi="Source Sans Pro" w:cs="Source Sans Pro"/>
          <w:sz w:val="22"/>
          <w:szCs w:val="22"/>
        </w:rPr>
        <w:t xml:space="preserve">Rückgänge </w:t>
      </w:r>
      <w:r w:rsidR="00A622E9">
        <w:rPr>
          <w:rFonts w:ascii="Source Sans Pro" w:hAnsi="Source Sans Pro" w:cs="Source Sans Pro"/>
          <w:sz w:val="22"/>
          <w:szCs w:val="22"/>
        </w:rPr>
        <w:t>vermelden.</w:t>
      </w:r>
      <w:r w:rsidR="00476554">
        <w:rPr>
          <w:rFonts w:ascii="Source Sans Pro" w:hAnsi="Source Sans Pro" w:cs="Source Sans Pro"/>
          <w:sz w:val="22"/>
          <w:szCs w:val="22"/>
        </w:rPr>
        <w:t xml:space="preserve">  </w:t>
      </w:r>
      <w:r w:rsidR="00BB0BE0">
        <w:rPr>
          <w:rFonts w:ascii="Source Sans Pro" w:hAnsi="Source Sans Pro" w:cs="Source Sans Pro"/>
          <w:sz w:val="22"/>
          <w:szCs w:val="22"/>
        </w:rPr>
        <w:t xml:space="preserve">  </w:t>
      </w:r>
      <w:r w:rsidR="00236619">
        <w:rPr>
          <w:rFonts w:ascii="Source Sans Pro" w:hAnsi="Source Sans Pro" w:cs="Source Sans Pro"/>
          <w:sz w:val="22"/>
          <w:szCs w:val="22"/>
        </w:rPr>
        <w:t xml:space="preserve">  </w:t>
      </w:r>
      <w:r w:rsidR="00A622E9">
        <w:rPr>
          <w:rFonts w:ascii="Source Sans Pro" w:hAnsi="Source Sans Pro" w:cs="Source Sans Pro"/>
          <w:sz w:val="22"/>
          <w:szCs w:val="22"/>
        </w:rPr>
        <w:t xml:space="preserve"> </w:t>
      </w:r>
      <w:r w:rsidR="00931F65">
        <w:rPr>
          <w:rFonts w:ascii="Source Sans Pro" w:hAnsi="Source Sans Pro" w:cs="Source Sans Pro"/>
          <w:sz w:val="22"/>
          <w:szCs w:val="22"/>
        </w:rPr>
        <w:t xml:space="preserve">   </w:t>
      </w:r>
      <w:r w:rsidR="007C1AEC">
        <w:rPr>
          <w:rFonts w:ascii="Source Sans Pro" w:hAnsi="Source Sans Pro" w:cs="Source Sans Pro"/>
          <w:sz w:val="22"/>
          <w:szCs w:val="22"/>
        </w:rPr>
        <w:t xml:space="preserve">  </w:t>
      </w:r>
    </w:p>
    <w:p w14:paraId="6002F801" w14:textId="4F6CB6D6" w:rsidR="00A622E9" w:rsidRDefault="00A622E9" w:rsidP="00BF5E1D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</w:p>
    <w:p w14:paraId="3996DA89" w14:textId="3325338A" w:rsidR="00BF5E1D" w:rsidRPr="00895E64" w:rsidRDefault="003938C9" w:rsidP="00BF5E1D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STEIGENDE</w:t>
      </w:r>
      <w:r w:rsidR="00476554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Renditen </w:t>
      </w:r>
      <w:r>
        <w:rPr>
          <w:rFonts w:ascii="Source Sans Pro" w:hAnsi="Source Sans Pro" w:cs="Source Sans Pro"/>
          <w:caps/>
          <w:color w:val="0086A8"/>
          <w:sz w:val="22"/>
          <w:szCs w:val="22"/>
        </w:rPr>
        <w:t>ERWARTET</w:t>
      </w:r>
      <w:r w:rsidR="00BF5E1D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4765B79" w14:textId="6B3F3733" w:rsidR="00E01C7D" w:rsidRDefault="00443C1C" w:rsidP="00BF5E1D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D</w:t>
      </w:r>
      <w:r w:rsidR="00476554">
        <w:rPr>
          <w:rFonts w:ascii="Source Sans Pro" w:hAnsi="Source Sans Pro" w:cs="Source Sans Pro"/>
          <w:sz w:val="22"/>
          <w:szCs w:val="22"/>
        </w:rPr>
        <w:t xml:space="preserve">ie alstria-Übernahme </w:t>
      </w:r>
      <w:r>
        <w:rPr>
          <w:rFonts w:ascii="Source Sans Pro" w:hAnsi="Source Sans Pro" w:cs="Source Sans Pro"/>
          <w:sz w:val="22"/>
          <w:szCs w:val="22"/>
        </w:rPr>
        <w:t xml:space="preserve">prägt </w:t>
      </w:r>
      <w:r w:rsidR="00C53FE9">
        <w:rPr>
          <w:rFonts w:ascii="Source Sans Pro" w:hAnsi="Source Sans Pro" w:cs="Source Sans Pro"/>
          <w:sz w:val="22"/>
          <w:szCs w:val="22"/>
        </w:rPr>
        <w:t>auch weitere Marktparameter des</w:t>
      </w:r>
      <w:r w:rsidR="00AB7800">
        <w:rPr>
          <w:rFonts w:ascii="Source Sans Pro" w:hAnsi="Source Sans Pro" w:cs="Source Sans Pro"/>
          <w:sz w:val="22"/>
          <w:szCs w:val="22"/>
        </w:rPr>
        <w:t xml:space="preserve"> 1. Halbjahr</w:t>
      </w:r>
      <w:r w:rsidR="00C53FE9">
        <w:rPr>
          <w:rFonts w:ascii="Source Sans Pro" w:hAnsi="Source Sans Pro" w:cs="Source Sans Pro"/>
          <w:sz w:val="22"/>
          <w:szCs w:val="22"/>
        </w:rPr>
        <w:t>es</w:t>
      </w:r>
      <w:r>
        <w:rPr>
          <w:rFonts w:ascii="Source Sans Pro" w:hAnsi="Source Sans Pro" w:cs="Source Sans Pro"/>
          <w:sz w:val="22"/>
          <w:szCs w:val="22"/>
        </w:rPr>
        <w:t xml:space="preserve">. So </w:t>
      </w:r>
      <w:r w:rsidR="00476554">
        <w:rPr>
          <w:rFonts w:ascii="Source Sans Pro" w:hAnsi="Source Sans Pro" w:cs="Source Sans Pro"/>
          <w:sz w:val="22"/>
          <w:szCs w:val="22"/>
        </w:rPr>
        <w:t xml:space="preserve">waren Internationale Investoren mit einem Volumenanteil von </w:t>
      </w:r>
      <w:r w:rsidR="00A02C80">
        <w:rPr>
          <w:rFonts w:ascii="Source Sans Pro" w:hAnsi="Source Sans Pro" w:cs="Source Sans Pro"/>
          <w:sz w:val="22"/>
          <w:szCs w:val="22"/>
        </w:rPr>
        <w:t>62</w:t>
      </w:r>
      <w:r w:rsidR="00476554">
        <w:rPr>
          <w:rFonts w:ascii="Source Sans Pro" w:hAnsi="Source Sans Pro" w:cs="Source Sans Pro"/>
          <w:sz w:val="22"/>
          <w:szCs w:val="22"/>
        </w:rPr>
        <w:t xml:space="preserve"> % (Q2 2021: </w:t>
      </w:r>
      <w:r w:rsidR="00B11724">
        <w:rPr>
          <w:rFonts w:ascii="Source Sans Pro" w:hAnsi="Source Sans Pro" w:cs="Source Sans Pro"/>
          <w:sz w:val="22"/>
          <w:szCs w:val="22"/>
        </w:rPr>
        <w:t>36</w:t>
      </w:r>
      <w:r w:rsidR="00476554">
        <w:rPr>
          <w:rFonts w:ascii="Source Sans Pro" w:hAnsi="Source Sans Pro" w:cs="Source Sans Pro"/>
          <w:sz w:val="22"/>
          <w:szCs w:val="22"/>
        </w:rPr>
        <w:t xml:space="preserve"> %) </w:t>
      </w:r>
      <w:r w:rsidR="00B11724">
        <w:rPr>
          <w:rFonts w:ascii="Source Sans Pro" w:hAnsi="Source Sans Pro" w:cs="Source Sans Pro"/>
          <w:sz w:val="22"/>
          <w:szCs w:val="22"/>
        </w:rPr>
        <w:t>sehr</w:t>
      </w:r>
      <w:r w:rsidR="00476554">
        <w:rPr>
          <w:rFonts w:ascii="Source Sans Pro" w:hAnsi="Source Sans Pro" w:cs="Source Sans Pro"/>
          <w:sz w:val="22"/>
          <w:szCs w:val="22"/>
        </w:rPr>
        <w:t xml:space="preserve"> präsent an den deutschen Top-7-Standorten. </w:t>
      </w:r>
      <w:r w:rsidR="001C6DDD">
        <w:rPr>
          <w:rFonts w:ascii="Source Sans Pro" w:hAnsi="Source Sans Pro" w:cs="Source Sans Pro"/>
          <w:sz w:val="22"/>
          <w:szCs w:val="22"/>
        </w:rPr>
        <w:t xml:space="preserve">Auch der Anteil an Portfolio-Deals </w:t>
      </w:r>
      <w:r w:rsidR="00B11724">
        <w:rPr>
          <w:rFonts w:ascii="Source Sans Pro" w:hAnsi="Source Sans Pro" w:cs="Source Sans Pro"/>
          <w:sz w:val="22"/>
          <w:szCs w:val="22"/>
        </w:rPr>
        <w:t>ist</w:t>
      </w:r>
      <w:r>
        <w:rPr>
          <w:rFonts w:ascii="Source Sans Pro" w:hAnsi="Source Sans Pro" w:cs="Source Sans Pro"/>
          <w:sz w:val="22"/>
          <w:szCs w:val="22"/>
        </w:rPr>
        <w:t xml:space="preserve"> mit </w:t>
      </w:r>
      <w:r w:rsidR="00B11724">
        <w:rPr>
          <w:rFonts w:ascii="Source Sans Pro" w:hAnsi="Source Sans Pro" w:cs="Source Sans Pro"/>
          <w:sz w:val="22"/>
          <w:szCs w:val="22"/>
        </w:rPr>
        <w:t>40</w:t>
      </w:r>
      <w:r>
        <w:rPr>
          <w:rFonts w:ascii="Source Sans Pro" w:hAnsi="Source Sans Pro" w:cs="Source Sans Pro"/>
          <w:sz w:val="22"/>
          <w:szCs w:val="22"/>
        </w:rPr>
        <w:t xml:space="preserve"> % entsprechend hoch</w:t>
      </w:r>
      <w:r w:rsidR="00B11724">
        <w:rPr>
          <w:rFonts w:ascii="Source Sans Pro" w:hAnsi="Source Sans Pro" w:cs="Source Sans Pro"/>
          <w:sz w:val="22"/>
          <w:szCs w:val="22"/>
        </w:rPr>
        <w:t xml:space="preserve"> (Q2 2021: 11 %)</w:t>
      </w:r>
      <w:r>
        <w:rPr>
          <w:rFonts w:ascii="Source Sans Pro" w:hAnsi="Source Sans Pro" w:cs="Source Sans Pro"/>
          <w:sz w:val="22"/>
          <w:szCs w:val="22"/>
        </w:rPr>
        <w:t>.</w:t>
      </w:r>
      <w:r w:rsidR="001C6DDD">
        <w:rPr>
          <w:rFonts w:ascii="Source Sans Pro" w:hAnsi="Source Sans Pro" w:cs="Source Sans Pro"/>
          <w:sz w:val="22"/>
          <w:szCs w:val="22"/>
        </w:rPr>
        <w:t xml:space="preserve"> </w:t>
      </w:r>
      <w:r>
        <w:rPr>
          <w:rFonts w:ascii="Source Sans Pro" w:hAnsi="Source Sans Pro" w:cs="Source Sans Pro"/>
          <w:sz w:val="22"/>
          <w:szCs w:val="22"/>
        </w:rPr>
        <w:t xml:space="preserve">Büro-Immobilien waren die mit Abstand gefragteste Assetklasse – ihr Anteil machte </w:t>
      </w:r>
      <w:r w:rsidR="00C7165C">
        <w:rPr>
          <w:rFonts w:ascii="Source Sans Pro" w:hAnsi="Source Sans Pro" w:cs="Source Sans Pro"/>
          <w:sz w:val="22"/>
          <w:szCs w:val="22"/>
        </w:rPr>
        <w:t xml:space="preserve">rund </w:t>
      </w:r>
      <w:r>
        <w:rPr>
          <w:rFonts w:ascii="Source Sans Pro" w:hAnsi="Source Sans Pro" w:cs="Source Sans Pro"/>
          <w:sz w:val="22"/>
          <w:szCs w:val="22"/>
        </w:rPr>
        <w:t xml:space="preserve">74 % des TAV des 1. Halbjahres aus. Der Druck auf die Renditen steigt </w:t>
      </w:r>
      <w:r w:rsidR="001D0F2C">
        <w:rPr>
          <w:rFonts w:ascii="Source Sans Pro" w:hAnsi="Source Sans Pro" w:cs="Source Sans Pro"/>
          <w:sz w:val="22"/>
          <w:szCs w:val="22"/>
        </w:rPr>
        <w:t xml:space="preserve">unterdessen </w:t>
      </w:r>
      <w:r>
        <w:rPr>
          <w:rFonts w:ascii="Source Sans Pro" w:hAnsi="Source Sans Pro" w:cs="Source Sans Pro"/>
          <w:sz w:val="22"/>
          <w:szCs w:val="22"/>
        </w:rPr>
        <w:t xml:space="preserve">aufgrund des </w:t>
      </w:r>
      <w:r w:rsidR="00B11724">
        <w:rPr>
          <w:rFonts w:ascii="Source Sans Pro" w:hAnsi="Source Sans Pro" w:cs="Source Sans Pro"/>
          <w:sz w:val="22"/>
          <w:szCs w:val="22"/>
        </w:rPr>
        <w:t>gestiegenen Zinsniveaus deutlich an:</w:t>
      </w:r>
      <w:r>
        <w:rPr>
          <w:rFonts w:ascii="Source Sans Pro" w:hAnsi="Source Sans Pro" w:cs="Source Sans Pro"/>
          <w:sz w:val="22"/>
          <w:szCs w:val="22"/>
        </w:rPr>
        <w:t xml:space="preserve"> </w:t>
      </w:r>
      <w:r w:rsidR="00A23994" w:rsidRPr="00A23994">
        <w:rPr>
          <w:rFonts w:ascii="Source Sans Pro" w:hAnsi="Source Sans Pro" w:cs="Source Sans Pro"/>
          <w:i/>
          <w:sz w:val="22"/>
          <w:szCs w:val="22"/>
        </w:rPr>
        <w:t>„</w:t>
      </w:r>
      <w:r w:rsidRPr="00A23994">
        <w:rPr>
          <w:rFonts w:ascii="Source Sans Pro" w:hAnsi="Source Sans Pro" w:cs="Source Sans Pro"/>
          <w:i/>
          <w:sz w:val="22"/>
          <w:szCs w:val="22"/>
        </w:rPr>
        <w:t>W</w:t>
      </w:r>
      <w:r w:rsidR="00E01C7D" w:rsidRPr="00A23994">
        <w:rPr>
          <w:rFonts w:ascii="Source Sans Pro" w:hAnsi="Source Sans Pro" w:cs="Source Sans Pro"/>
          <w:i/>
          <w:sz w:val="22"/>
          <w:szCs w:val="22"/>
        </w:rPr>
        <w:t xml:space="preserve">enngleich die Ermittlung der Spitzenrenditen </w:t>
      </w:r>
      <w:r w:rsidR="00672037">
        <w:rPr>
          <w:rFonts w:ascii="Source Sans Pro" w:hAnsi="Source Sans Pro" w:cs="Source Sans Pro"/>
          <w:i/>
          <w:sz w:val="22"/>
          <w:szCs w:val="22"/>
        </w:rPr>
        <w:t xml:space="preserve">angesichts </w:t>
      </w:r>
      <w:r w:rsidR="00E01C7D" w:rsidRPr="00A23994">
        <w:rPr>
          <w:rFonts w:ascii="Source Sans Pro" w:hAnsi="Source Sans Pro" w:cs="Source Sans Pro"/>
          <w:i/>
          <w:sz w:val="22"/>
          <w:szCs w:val="22"/>
        </w:rPr>
        <w:t xml:space="preserve">der geringen Zahl an Transaktionen </w:t>
      </w:r>
      <w:r w:rsidR="00B11724">
        <w:rPr>
          <w:rFonts w:ascii="Source Sans Pro" w:hAnsi="Source Sans Pro" w:cs="Source Sans Pro"/>
          <w:i/>
          <w:sz w:val="22"/>
          <w:szCs w:val="22"/>
        </w:rPr>
        <w:t>derzeit</w:t>
      </w:r>
      <w:r w:rsidR="00C53FE9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C7165C">
        <w:rPr>
          <w:rFonts w:ascii="Source Sans Pro" w:hAnsi="Source Sans Pro" w:cs="Source Sans Pro"/>
          <w:i/>
          <w:sz w:val="22"/>
          <w:szCs w:val="22"/>
        </w:rPr>
        <w:t>schwierig</w:t>
      </w:r>
      <w:r w:rsidR="00C53FE9">
        <w:rPr>
          <w:rFonts w:ascii="Source Sans Pro" w:hAnsi="Source Sans Pro" w:cs="Source Sans Pro"/>
          <w:i/>
          <w:sz w:val="22"/>
          <w:szCs w:val="22"/>
        </w:rPr>
        <w:t xml:space="preserve"> ist</w:t>
      </w:r>
      <w:r w:rsidR="00E01C7D" w:rsidRPr="00A23994">
        <w:rPr>
          <w:rFonts w:ascii="Source Sans Pro" w:hAnsi="Source Sans Pro" w:cs="Source Sans Pro"/>
          <w:i/>
          <w:sz w:val="22"/>
          <w:szCs w:val="22"/>
        </w:rPr>
        <w:t xml:space="preserve">, </w:t>
      </w:r>
      <w:r w:rsidR="00C53FE9">
        <w:rPr>
          <w:rFonts w:ascii="Source Sans Pro" w:hAnsi="Source Sans Pro" w:cs="Source Sans Pro"/>
          <w:i/>
          <w:sz w:val="22"/>
          <w:szCs w:val="22"/>
        </w:rPr>
        <w:t>beobachten</w:t>
      </w:r>
      <w:r w:rsidR="00A23994" w:rsidRPr="00A23994">
        <w:rPr>
          <w:rFonts w:ascii="Source Sans Pro" w:hAnsi="Source Sans Pro" w:cs="Source Sans Pro"/>
          <w:i/>
          <w:sz w:val="22"/>
          <w:szCs w:val="22"/>
        </w:rPr>
        <w:t xml:space="preserve"> wir a</w:t>
      </w:r>
      <w:r w:rsidR="00E01C7D" w:rsidRPr="00A23994">
        <w:rPr>
          <w:rFonts w:ascii="Source Sans Pro" w:hAnsi="Source Sans Pro" w:cs="Source Sans Pro"/>
          <w:i/>
          <w:sz w:val="22"/>
          <w:szCs w:val="22"/>
        </w:rPr>
        <w:t>n</w:t>
      </w:r>
      <w:r w:rsidRPr="00A23994">
        <w:rPr>
          <w:rFonts w:ascii="Source Sans Pro" w:hAnsi="Source Sans Pro" w:cs="Source Sans Pro"/>
          <w:i/>
          <w:sz w:val="22"/>
          <w:szCs w:val="22"/>
        </w:rPr>
        <w:t xml:space="preserve"> einzelne</w:t>
      </w:r>
      <w:r w:rsidR="00E01C7D" w:rsidRPr="00A23994">
        <w:rPr>
          <w:rFonts w:ascii="Source Sans Pro" w:hAnsi="Source Sans Pro" w:cs="Source Sans Pro"/>
          <w:i/>
          <w:sz w:val="22"/>
          <w:szCs w:val="22"/>
        </w:rPr>
        <w:t>n</w:t>
      </w:r>
      <w:r w:rsidRPr="00A23994">
        <w:rPr>
          <w:rFonts w:ascii="Source Sans Pro" w:hAnsi="Source Sans Pro" w:cs="Source Sans Pro"/>
          <w:i/>
          <w:sz w:val="22"/>
          <w:szCs w:val="22"/>
        </w:rPr>
        <w:t xml:space="preserve"> Standorte</w:t>
      </w:r>
      <w:r w:rsidR="00E01C7D" w:rsidRPr="00A23994">
        <w:rPr>
          <w:rFonts w:ascii="Source Sans Pro" w:hAnsi="Source Sans Pro" w:cs="Source Sans Pro"/>
          <w:i/>
          <w:sz w:val="22"/>
          <w:szCs w:val="22"/>
        </w:rPr>
        <w:t>n</w:t>
      </w:r>
      <w:r w:rsidR="00075C3C">
        <w:rPr>
          <w:rFonts w:ascii="Source Sans Pro" w:hAnsi="Source Sans Pro" w:cs="Source Sans Pro"/>
          <w:i/>
          <w:sz w:val="22"/>
          <w:szCs w:val="22"/>
        </w:rPr>
        <w:t>, insbesondere</w:t>
      </w:r>
      <w:r w:rsidRPr="00A23994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1208CE">
        <w:rPr>
          <w:rFonts w:ascii="Source Sans Pro" w:hAnsi="Source Sans Pro" w:cs="Source Sans Pro"/>
          <w:i/>
          <w:sz w:val="22"/>
          <w:szCs w:val="22"/>
        </w:rPr>
        <w:t>im Vergleich zum ersten Qu</w:t>
      </w:r>
      <w:r w:rsidR="00E01C7D" w:rsidRPr="00A23994">
        <w:rPr>
          <w:rFonts w:ascii="Source Sans Pro" w:hAnsi="Source Sans Pro" w:cs="Source Sans Pro"/>
          <w:i/>
          <w:sz w:val="22"/>
          <w:szCs w:val="22"/>
        </w:rPr>
        <w:t>artal</w:t>
      </w:r>
      <w:r w:rsidR="00075C3C">
        <w:rPr>
          <w:rFonts w:ascii="Source Sans Pro" w:hAnsi="Source Sans Pro" w:cs="Source Sans Pro"/>
          <w:i/>
          <w:sz w:val="22"/>
          <w:szCs w:val="22"/>
        </w:rPr>
        <w:t>,</w:t>
      </w:r>
      <w:r w:rsidR="00E01C7D" w:rsidRPr="00A23994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Pr="00A23994">
        <w:rPr>
          <w:rFonts w:ascii="Source Sans Pro" w:hAnsi="Source Sans Pro" w:cs="Source Sans Pro"/>
          <w:i/>
          <w:sz w:val="22"/>
          <w:szCs w:val="22"/>
        </w:rPr>
        <w:t xml:space="preserve">bereits </w:t>
      </w:r>
      <w:r w:rsidR="00C53FE9">
        <w:rPr>
          <w:rFonts w:ascii="Source Sans Pro" w:hAnsi="Source Sans Pro" w:cs="Source Sans Pro"/>
          <w:i/>
          <w:sz w:val="22"/>
          <w:szCs w:val="22"/>
        </w:rPr>
        <w:t>eine steigende Tendenz b</w:t>
      </w:r>
      <w:r w:rsidR="00E01C7D" w:rsidRPr="00A23994">
        <w:rPr>
          <w:rFonts w:ascii="Source Sans Pro" w:hAnsi="Source Sans Pro" w:cs="Source Sans Pro"/>
          <w:i/>
          <w:sz w:val="22"/>
          <w:szCs w:val="22"/>
        </w:rPr>
        <w:t xml:space="preserve">ei laufenden Prozessen. </w:t>
      </w:r>
      <w:r w:rsidR="00C7165C">
        <w:rPr>
          <w:rFonts w:ascii="Source Sans Pro" w:hAnsi="Source Sans Pro" w:cs="Source Sans Pro"/>
          <w:i/>
          <w:sz w:val="22"/>
          <w:szCs w:val="22"/>
        </w:rPr>
        <w:t>D</w:t>
      </w:r>
      <w:r w:rsidR="00A23994" w:rsidRPr="00A23994">
        <w:rPr>
          <w:rFonts w:ascii="Source Sans Pro" w:hAnsi="Source Sans Pro" w:cs="Source Sans Pro"/>
          <w:i/>
          <w:sz w:val="22"/>
          <w:szCs w:val="22"/>
        </w:rPr>
        <w:t xml:space="preserve">em langjährigen Trend fallender Anfangsrenditen </w:t>
      </w:r>
      <w:r w:rsidR="00C7165C">
        <w:rPr>
          <w:rFonts w:ascii="Source Sans Pro" w:hAnsi="Source Sans Pro" w:cs="Source Sans Pro"/>
          <w:i/>
          <w:sz w:val="22"/>
          <w:szCs w:val="22"/>
        </w:rPr>
        <w:t xml:space="preserve">dürfte also </w:t>
      </w:r>
      <w:r w:rsidR="009B19A3">
        <w:rPr>
          <w:rFonts w:ascii="Source Sans Pro" w:hAnsi="Source Sans Pro" w:cs="Source Sans Pro"/>
          <w:i/>
          <w:sz w:val="22"/>
          <w:szCs w:val="22"/>
        </w:rPr>
        <w:t xml:space="preserve">vorerst </w:t>
      </w:r>
      <w:r w:rsidR="00A23994" w:rsidRPr="00A23994">
        <w:rPr>
          <w:rFonts w:ascii="Source Sans Pro" w:hAnsi="Source Sans Pro" w:cs="Source Sans Pro"/>
          <w:i/>
          <w:sz w:val="22"/>
          <w:szCs w:val="22"/>
        </w:rPr>
        <w:t xml:space="preserve">ein Ende </w:t>
      </w:r>
      <w:r w:rsidR="00A23994">
        <w:rPr>
          <w:rFonts w:ascii="Source Sans Pro" w:hAnsi="Source Sans Pro" w:cs="Source Sans Pro"/>
          <w:i/>
          <w:sz w:val="22"/>
          <w:szCs w:val="22"/>
        </w:rPr>
        <w:t>gesetzt sein</w:t>
      </w:r>
      <w:r w:rsidR="00A23994" w:rsidRPr="00A23994">
        <w:rPr>
          <w:rFonts w:ascii="Source Sans Pro" w:hAnsi="Source Sans Pro" w:cs="Source Sans Pro"/>
          <w:i/>
          <w:sz w:val="22"/>
          <w:szCs w:val="22"/>
        </w:rPr>
        <w:t>“</w:t>
      </w:r>
      <w:r w:rsidR="00A23994">
        <w:rPr>
          <w:rFonts w:ascii="Source Sans Pro" w:hAnsi="Source Sans Pro" w:cs="Source Sans Pro"/>
          <w:sz w:val="22"/>
          <w:szCs w:val="22"/>
        </w:rPr>
        <w:t xml:space="preserve">, so </w:t>
      </w:r>
      <w:r w:rsidR="00A23994" w:rsidRPr="00A23994">
        <w:rPr>
          <w:rFonts w:ascii="Source Sans Pro" w:hAnsi="Source Sans Pro" w:cs="Source Sans Pro"/>
          <w:b/>
          <w:sz w:val="22"/>
          <w:szCs w:val="22"/>
        </w:rPr>
        <w:t>Rehberg</w:t>
      </w:r>
      <w:r w:rsidR="00A23994">
        <w:rPr>
          <w:rFonts w:ascii="Source Sans Pro" w:hAnsi="Source Sans Pro" w:cs="Source Sans Pro"/>
          <w:sz w:val="22"/>
          <w:szCs w:val="22"/>
        </w:rPr>
        <w:t>. Im</w:t>
      </w:r>
      <w:r w:rsidR="00E01C7D">
        <w:rPr>
          <w:rFonts w:ascii="Source Sans Pro" w:hAnsi="Source Sans Pro" w:cs="Source Sans Pro"/>
          <w:sz w:val="22"/>
          <w:szCs w:val="22"/>
        </w:rPr>
        <w:t xml:space="preserve"> weiteren Jahresverlauf </w:t>
      </w:r>
      <w:r w:rsidR="00AB7800">
        <w:rPr>
          <w:rFonts w:ascii="Source Sans Pro" w:hAnsi="Source Sans Pro" w:cs="Source Sans Pro"/>
          <w:sz w:val="22"/>
          <w:szCs w:val="22"/>
        </w:rPr>
        <w:t>rechnet GPP</w:t>
      </w:r>
      <w:r w:rsidR="00E01C7D">
        <w:rPr>
          <w:rFonts w:ascii="Source Sans Pro" w:hAnsi="Source Sans Pro" w:cs="Source Sans Pro"/>
          <w:sz w:val="22"/>
          <w:szCs w:val="22"/>
        </w:rPr>
        <w:t xml:space="preserve"> an allen Top-7-Standorten </w:t>
      </w:r>
      <w:r w:rsidR="00AB7800">
        <w:rPr>
          <w:rFonts w:ascii="Source Sans Pro" w:hAnsi="Source Sans Pro" w:cs="Source Sans Pro"/>
          <w:sz w:val="22"/>
          <w:szCs w:val="22"/>
        </w:rPr>
        <w:t xml:space="preserve">mit steigenden </w:t>
      </w:r>
      <w:r w:rsidR="00E01C7D">
        <w:rPr>
          <w:rFonts w:ascii="Source Sans Pro" w:hAnsi="Source Sans Pro" w:cs="Source Sans Pro"/>
          <w:sz w:val="22"/>
          <w:szCs w:val="22"/>
        </w:rPr>
        <w:t>Spitzenrenditen.</w:t>
      </w:r>
    </w:p>
    <w:p w14:paraId="471331C2" w14:textId="77777777" w:rsidR="00A23994" w:rsidRDefault="00E01C7D" w:rsidP="00BF5E1D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   </w:t>
      </w:r>
      <w:r w:rsidR="00443C1C">
        <w:rPr>
          <w:rFonts w:ascii="Source Sans Pro" w:hAnsi="Source Sans Pro" w:cs="Source Sans Pro"/>
          <w:sz w:val="22"/>
          <w:szCs w:val="22"/>
        </w:rPr>
        <w:t xml:space="preserve">      </w:t>
      </w:r>
      <w:r w:rsidR="00476554">
        <w:rPr>
          <w:rFonts w:ascii="Source Sans Pro" w:hAnsi="Source Sans Pro" w:cs="Source Sans Pro"/>
          <w:sz w:val="22"/>
          <w:szCs w:val="22"/>
        </w:rPr>
        <w:t xml:space="preserve"> </w:t>
      </w:r>
    </w:p>
    <w:p w14:paraId="576031CF" w14:textId="54298E7C" w:rsidR="00A23994" w:rsidRDefault="00A23994" w:rsidP="00BF5E1D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PrOGNOSE: </w:t>
      </w:r>
      <w:r w:rsidR="000A12F9">
        <w:rPr>
          <w:rFonts w:ascii="Source Sans Pro" w:hAnsi="Source Sans Pro" w:cs="Source Sans Pro"/>
          <w:caps/>
          <w:color w:val="0086A8"/>
          <w:sz w:val="22"/>
          <w:szCs w:val="22"/>
        </w:rPr>
        <w:t>BELEB</w:t>
      </w: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UNG </w:t>
      </w:r>
      <w:r w:rsidR="00EF1AB1">
        <w:rPr>
          <w:rFonts w:ascii="Source Sans Pro" w:hAnsi="Source Sans Pro" w:cs="Source Sans Pro"/>
          <w:caps/>
          <w:color w:val="0086A8"/>
          <w:sz w:val="22"/>
          <w:szCs w:val="22"/>
        </w:rPr>
        <w:t>IM ZWEITEN HALBJAHR</w:t>
      </w:r>
    </w:p>
    <w:p w14:paraId="6B4A9302" w14:textId="3AFA288A" w:rsidR="00BF5E1D" w:rsidRDefault="00B83E0A" w:rsidP="00BF5E1D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Wie sich die Anlagestimmung der Investoren an den deutschen Top-7-Standorten im weiteren Jahresverlauf entwickeln wird, ist angesichts weltpolitischer Unsicherheiten schwer vorherzusehen. </w:t>
      </w:r>
      <w:r w:rsidR="00AB7800" w:rsidRPr="00A432CB">
        <w:rPr>
          <w:rFonts w:ascii="Source Sans Pro" w:hAnsi="Source Sans Pro" w:cs="Source Sans Pro"/>
          <w:i/>
          <w:sz w:val="22"/>
          <w:szCs w:val="22"/>
        </w:rPr>
        <w:t>„</w:t>
      </w:r>
      <w:r w:rsidR="002E2673">
        <w:rPr>
          <w:rFonts w:ascii="Source Sans Pro" w:hAnsi="Source Sans Pro" w:cs="Source Sans Pro"/>
          <w:i/>
          <w:sz w:val="22"/>
          <w:szCs w:val="22"/>
        </w:rPr>
        <w:t>Die</w:t>
      </w:r>
      <w:r w:rsidR="00A432CB" w:rsidRPr="00A432CB">
        <w:rPr>
          <w:rFonts w:ascii="Source Sans Pro" w:hAnsi="Source Sans Pro" w:cs="Source Sans Pro"/>
          <w:i/>
          <w:sz w:val="22"/>
          <w:szCs w:val="22"/>
        </w:rPr>
        <w:t xml:space="preserve"> Investoren </w:t>
      </w:r>
      <w:r w:rsidR="002E2673">
        <w:rPr>
          <w:rFonts w:ascii="Source Sans Pro" w:hAnsi="Source Sans Pro" w:cs="Source Sans Pro"/>
          <w:i/>
          <w:sz w:val="22"/>
          <w:szCs w:val="22"/>
        </w:rPr>
        <w:t xml:space="preserve">stehen unter Anlagedruck und </w:t>
      </w:r>
      <w:r w:rsidR="00A432CB" w:rsidRPr="00A432CB">
        <w:rPr>
          <w:rFonts w:ascii="Source Sans Pro" w:hAnsi="Source Sans Pro" w:cs="Source Sans Pro"/>
          <w:i/>
          <w:sz w:val="22"/>
          <w:szCs w:val="22"/>
        </w:rPr>
        <w:t xml:space="preserve">werden zum Jahresende </w:t>
      </w:r>
      <w:r w:rsidR="002E2673">
        <w:rPr>
          <w:rFonts w:ascii="Source Sans Pro" w:hAnsi="Source Sans Pro" w:cs="Source Sans Pro"/>
          <w:i/>
          <w:sz w:val="22"/>
          <w:szCs w:val="22"/>
        </w:rPr>
        <w:t xml:space="preserve">verstärkt </w:t>
      </w:r>
      <w:r w:rsidR="00A432CB" w:rsidRPr="00A432CB">
        <w:rPr>
          <w:rFonts w:ascii="Source Sans Pro" w:hAnsi="Source Sans Pro" w:cs="Source Sans Pro"/>
          <w:i/>
          <w:sz w:val="22"/>
          <w:szCs w:val="22"/>
        </w:rPr>
        <w:t>versuchen, ihre Investitionsziele zu erreichen</w:t>
      </w:r>
      <w:r w:rsidR="002E2673">
        <w:rPr>
          <w:rFonts w:ascii="Source Sans Pro" w:hAnsi="Source Sans Pro" w:cs="Source Sans Pro"/>
          <w:i/>
          <w:sz w:val="22"/>
          <w:szCs w:val="22"/>
        </w:rPr>
        <w:t xml:space="preserve">. Sofern sich die Zinsen auf einem kalkulierbaren Niveau einpendeln und die Preiserwartungen </w:t>
      </w:r>
      <w:r w:rsidR="001D0F2C">
        <w:rPr>
          <w:rFonts w:ascii="Source Sans Pro" w:hAnsi="Source Sans Pro" w:cs="Source Sans Pro"/>
          <w:i/>
          <w:sz w:val="22"/>
          <w:szCs w:val="22"/>
        </w:rPr>
        <w:t>von Käufern und Verkäufern</w:t>
      </w:r>
      <w:r w:rsidR="002E2673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143FCB">
        <w:rPr>
          <w:rFonts w:ascii="Source Sans Pro" w:hAnsi="Source Sans Pro" w:cs="Source Sans Pro"/>
          <w:i/>
          <w:sz w:val="22"/>
          <w:szCs w:val="22"/>
        </w:rPr>
        <w:t xml:space="preserve">wieder </w:t>
      </w:r>
      <w:r w:rsidR="002E2673">
        <w:rPr>
          <w:rFonts w:ascii="Source Sans Pro" w:hAnsi="Source Sans Pro" w:cs="Source Sans Pro"/>
          <w:i/>
          <w:sz w:val="22"/>
          <w:szCs w:val="22"/>
        </w:rPr>
        <w:t xml:space="preserve">zusammenfinden, könnte dies den Markt </w:t>
      </w:r>
      <w:r w:rsidR="00672037">
        <w:rPr>
          <w:rFonts w:ascii="Source Sans Pro" w:hAnsi="Source Sans Pro" w:cs="Source Sans Pro"/>
          <w:i/>
          <w:sz w:val="22"/>
          <w:szCs w:val="22"/>
        </w:rPr>
        <w:t xml:space="preserve">im vierten Quartal </w:t>
      </w:r>
      <w:r w:rsidR="00551363">
        <w:rPr>
          <w:rFonts w:ascii="Source Sans Pro" w:hAnsi="Source Sans Pro" w:cs="Source Sans Pro"/>
          <w:i/>
          <w:sz w:val="22"/>
          <w:szCs w:val="22"/>
        </w:rPr>
        <w:t xml:space="preserve">nach einer Phase der Neuorientierung </w:t>
      </w:r>
      <w:r w:rsidR="002E2673">
        <w:rPr>
          <w:rFonts w:ascii="Source Sans Pro" w:hAnsi="Source Sans Pro" w:cs="Source Sans Pro"/>
          <w:i/>
          <w:sz w:val="22"/>
          <w:szCs w:val="22"/>
        </w:rPr>
        <w:t>beleben“</w:t>
      </w:r>
      <w:r w:rsidR="00A432CB">
        <w:rPr>
          <w:rFonts w:ascii="Source Sans Pro" w:hAnsi="Source Sans Pro" w:cs="Source Sans Pro"/>
          <w:sz w:val="22"/>
          <w:szCs w:val="22"/>
        </w:rPr>
        <w:t xml:space="preserve">, </w:t>
      </w:r>
      <w:r w:rsidR="002E2673">
        <w:rPr>
          <w:rFonts w:ascii="Source Sans Pro" w:hAnsi="Source Sans Pro" w:cs="Source Sans Pro"/>
          <w:sz w:val="22"/>
          <w:szCs w:val="22"/>
        </w:rPr>
        <w:t>prognostiziert</w:t>
      </w:r>
      <w:r w:rsidR="00A432CB">
        <w:rPr>
          <w:rFonts w:ascii="Source Sans Pro" w:hAnsi="Source Sans Pro" w:cs="Source Sans Pro"/>
          <w:sz w:val="22"/>
          <w:szCs w:val="22"/>
        </w:rPr>
        <w:t xml:space="preserve"> </w:t>
      </w:r>
      <w:r w:rsidR="00A432CB" w:rsidRPr="00A432CB">
        <w:rPr>
          <w:rFonts w:ascii="Source Sans Pro" w:hAnsi="Source Sans Pro" w:cs="Source Sans Pro"/>
          <w:b/>
          <w:sz w:val="22"/>
          <w:szCs w:val="22"/>
        </w:rPr>
        <w:t>Rehberg</w:t>
      </w:r>
      <w:r w:rsidR="00A432CB">
        <w:rPr>
          <w:rFonts w:ascii="Source Sans Pro" w:hAnsi="Source Sans Pro" w:cs="Source Sans Pro"/>
          <w:sz w:val="22"/>
          <w:szCs w:val="22"/>
        </w:rPr>
        <w:t xml:space="preserve">.     </w:t>
      </w:r>
      <w:r w:rsidR="00AB7800">
        <w:rPr>
          <w:rFonts w:ascii="Source Sans Pro" w:hAnsi="Source Sans Pro" w:cs="Source Sans Pro"/>
          <w:sz w:val="22"/>
          <w:szCs w:val="22"/>
        </w:rPr>
        <w:t xml:space="preserve">   </w:t>
      </w:r>
    </w:p>
    <w:p w14:paraId="5BD0AAD6" w14:textId="23B795EF" w:rsidR="001104E2" w:rsidRPr="00BF5E1D" w:rsidRDefault="001104E2" w:rsidP="00BF5E1D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</w:p>
    <w:p w14:paraId="5CED34B8" w14:textId="31B288F7" w:rsidR="00161817" w:rsidRPr="00161817" w:rsidRDefault="001C0C8F" w:rsidP="00EF0944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  <w:r>
        <w:rPr>
          <w:rFonts w:ascii="Source Sans Pro" w:hAnsi="Source Sans Pro" w:cs="Arial"/>
          <w:b/>
          <w:sz w:val="20"/>
        </w:rPr>
        <w:t>Top</w:t>
      </w:r>
      <w:r w:rsidR="00B66F52">
        <w:rPr>
          <w:rFonts w:ascii="Source Sans Pro" w:hAnsi="Source Sans Pro" w:cs="Arial"/>
          <w:b/>
          <w:sz w:val="20"/>
        </w:rPr>
        <w:t xml:space="preserve"> </w:t>
      </w:r>
      <w:r w:rsidR="00161817" w:rsidRPr="00161817">
        <w:rPr>
          <w:rFonts w:ascii="Source Sans Pro" w:hAnsi="Source Sans Pro" w:cs="Arial"/>
          <w:b/>
          <w:sz w:val="20"/>
        </w:rPr>
        <w:t xml:space="preserve">bekannte Abschlüsse | Top-7-Standorte | </w:t>
      </w:r>
      <w:r w:rsidR="00BF5E1D">
        <w:rPr>
          <w:rFonts w:ascii="Source Sans Pro" w:hAnsi="Source Sans Pro" w:cs="Arial"/>
          <w:b/>
          <w:sz w:val="20"/>
        </w:rPr>
        <w:t>1.-2</w:t>
      </w:r>
      <w:r w:rsidR="00161817" w:rsidRPr="00161817">
        <w:rPr>
          <w:rFonts w:ascii="Source Sans Pro" w:hAnsi="Source Sans Pro" w:cs="Arial"/>
          <w:b/>
          <w:sz w:val="20"/>
        </w:rPr>
        <w:t>. Quartal 202</w:t>
      </w:r>
      <w:r w:rsidR="00F40B12">
        <w:rPr>
          <w:rFonts w:ascii="Source Sans Pro" w:hAnsi="Source Sans Pro" w:cs="Arial"/>
          <w:b/>
          <w:sz w:val="20"/>
        </w:rPr>
        <w:t>2</w:t>
      </w:r>
    </w:p>
    <w:tbl>
      <w:tblPr>
        <w:tblStyle w:val="TableGrid1"/>
        <w:tblW w:w="9231" w:type="dxa"/>
        <w:tblLayout w:type="fixed"/>
        <w:tblLook w:val="04A0" w:firstRow="1" w:lastRow="0" w:firstColumn="1" w:lastColumn="0" w:noHBand="0" w:noVBand="1"/>
      </w:tblPr>
      <w:tblGrid>
        <w:gridCol w:w="687"/>
        <w:gridCol w:w="2682"/>
        <w:gridCol w:w="2658"/>
        <w:gridCol w:w="2190"/>
        <w:gridCol w:w="1014"/>
      </w:tblGrid>
      <w:tr w:rsidR="00161817" w:rsidRPr="00161817" w14:paraId="113FCC50" w14:textId="77777777" w:rsidTr="009E6C40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130C696A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Stadt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E34B091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Projekt/Objekt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6669932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Käufer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90FE9EE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Verkäufer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28E3657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KP*</w:t>
            </w:r>
          </w:p>
          <w:p w14:paraId="24C76A25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(ca. Mio. €)</w:t>
            </w:r>
          </w:p>
        </w:tc>
      </w:tr>
      <w:tr w:rsidR="008E0A69" w:rsidRPr="00161817" w14:paraId="27C03D98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70E96E9C" w14:textId="3E586529" w:rsidR="008E0A69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FFM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64553CD" w14:textId="0D42BA5C" w:rsidR="008E0A69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 xml:space="preserve">Marienturm, </w:t>
            </w:r>
            <w:r w:rsidR="00E233EB">
              <w:rPr>
                <w:rFonts w:ascii="Source Sans Pro" w:hAnsi="Source Sans Pro" w:cs="Arial"/>
                <w:sz w:val="16"/>
                <w:szCs w:val="16"/>
              </w:rPr>
              <w:br/>
            </w:r>
            <w:r w:rsidRPr="00462200">
              <w:rPr>
                <w:rFonts w:ascii="Source Sans Pro" w:hAnsi="Source Sans Pro" w:cs="Arial"/>
                <w:sz w:val="16"/>
                <w:szCs w:val="16"/>
              </w:rPr>
              <w:t>Taunusanlage 9+10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CACC67F" w14:textId="530CD1E5" w:rsidR="008E0A69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DWS für den National Pension Service of Korea (NPS)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B47ECF9" w14:textId="585902FF" w:rsidR="008E0A69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Aermont Capital / zu Perella Weinberg gehörenden Fonds PWREF II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15AE998" w14:textId="2C408512" w:rsidR="008E0A69" w:rsidRDefault="00462200" w:rsidP="0046220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&gt; 800</w:t>
            </w:r>
          </w:p>
        </w:tc>
      </w:tr>
      <w:tr w:rsidR="00FD0B89" w:rsidRPr="00161817" w14:paraId="62157268" w14:textId="77777777" w:rsidTr="00FD0B89">
        <w:trPr>
          <w:trHeight w:val="552"/>
        </w:trPr>
        <w:tc>
          <w:tcPr>
            <w:tcW w:w="687" w:type="dxa"/>
            <w:shd w:val="clear" w:color="auto" w:fill="D9D9D9" w:themeFill="background1" w:themeFillShade="D9"/>
            <w:vAlign w:val="center"/>
          </w:tcPr>
          <w:p w14:paraId="5341C31F" w14:textId="7C6596D4" w:rsidR="00FD0B89" w:rsidRDefault="00FD0B8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BER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1CE76131" w14:textId="7EEE1730" w:rsidR="00FD0B89" w:rsidRPr="00462200" w:rsidRDefault="00A15A2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 xml:space="preserve">Sony Center, </w:t>
            </w:r>
            <w:r w:rsidR="00E233EB">
              <w:rPr>
                <w:rFonts w:ascii="Source Sans Pro" w:hAnsi="Source Sans Pro" w:cs="Arial"/>
                <w:sz w:val="16"/>
                <w:szCs w:val="16"/>
              </w:rPr>
              <w:br/>
            </w:r>
            <w:r w:rsidR="00FD0B89">
              <w:rPr>
                <w:rFonts w:ascii="Source Sans Pro" w:hAnsi="Source Sans Pro" w:cs="Arial"/>
                <w:sz w:val="16"/>
                <w:szCs w:val="16"/>
              </w:rPr>
              <w:t>Potsdamer Platz 2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14:paraId="738861F9" w14:textId="0225D86C" w:rsidR="00FD0B89" w:rsidRPr="00462200" w:rsidRDefault="00FD0B8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FD0B89">
              <w:rPr>
                <w:rFonts w:ascii="Source Sans Pro" w:hAnsi="Source Sans Pro" w:cs="Arial"/>
                <w:sz w:val="16"/>
                <w:szCs w:val="16"/>
              </w:rPr>
              <w:t>Norwegian Government Pension Fund Global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5223911B" w14:textId="5D3FC6D2" w:rsidR="00FD0B89" w:rsidRPr="00462200" w:rsidRDefault="00FD0B8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FD0B89">
              <w:rPr>
                <w:rFonts w:ascii="Source Sans Pro" w:hAnsi="Source Sans Pro" w:cs="Arial"/>
                <w:sz w:val="16"/>
                <w:szCs w:val="16"/>
              </w:rPr>
              <w:t>Oxford Properties/Madison International Realty für institutionellen Investor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39829831" w14:textId="54D4D5D2" w:rsidR="00FD0B89" w:rsidRDefault="00FD0B8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677</w:t>
            </w:r>
          </w:p>
        </w:tc>
      </w:tr>
      <w:tr w:rsidR="00462200" w:rsidRPr="00161817" w14:paraId="3B1D8DB4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4D10972E" w14:textId="7B1FADE4" w:rsidR="00462200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0848B51" w14:textId="25FCF876" w:rsidR="00462200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Olympia Business Center (OBC), Georg-Brauchle-Ring 23-25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7E16077" w14:textId="2548F1F1" w:rsidR="00462200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Athos Family Office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C3E9E5B" w14:textId="60C6C2BF" w:rsidR="00462200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Europa Capital</w:t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462200">
              <w:rPr>
                <w:rFonts w:ascii="Source Sans Pro" w:hAnsi="Source Sans Pro" w:cs="Arial"/>
                <w:sz w:val="16"/>
                <w:szCs w:val="16"/>
              </w:rPr>
              <w:t>/</w:t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462200">
              <w:rPr>
                <w:rFonts w:ascii="Source Sans Pro" w:hAnsi="Source Sans Pro" w:cs="Arial"/>
                <w:sz w:val="16"/>
                <w:szCs w:val="16"/>
              </w:rPr>
              <w:t>Bayern Projekt (Joint-Venture)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4DDCD3" w14:textId="0D7A6C7A" w:rsidR="00462200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300</w:t>
            </w:r>
          </w:p>
        </w:tc>
      </w:tr>
      <w:tr w:rsidR="00FD0B89" w:rsidRPr="00161817" w14:paraId="6D7C3F75" w14:textId="77777777" w:rsidTr="00FD0B89">
        <w:trPr>
          <w:trHeight w:val="552"/>
        </w:trPr>
        <w:tc>
          <w:tcPr>
            <w:tcW w:w="687" w:type="dxa"/>
            <w:shd w:val="clear" w:color="auto" w:fill="D9D9D9" w:themeFill="background1" w:themeFillShade="D9"/>
            <w:vAlign w:val="center"/>
          </w:tcPr>
          <w:p w14:paraId="0649F3B8" w14:textId="05976B42" w:rsidR="00FD0B89" w:rsidRDefault="00FD0B89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FFM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5E17976F" w14:textId="7489A489" w:rsidR="00FD0B89" w:rsidRPr="00462200" w:rsidRDefault="00FD0B89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 xml:space="preserve">Main Tower, </w:t>
            </w:r>
            <w:r>
              <w:rPr>
                <w:rFonts w:ascii="Source Sans Pro" w:hAnsi="Source Sans Pro" w:cs="Arial"/>
                <w:sz w:val="16"/>
                <w:szCs w:val="16"/>
              </w:rPr>
              <w:br/>
              <w:t>Neue Mainzer Straße 52-58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14:paraId="4A196300" w14:textId="5727E463" w:rsidR="00FD0B89" w:rsidRPr="00462200" w:rsidRDefault="00FD0B89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FD0B89">
              <w:rPr>
                <w:rFonts w:ascii="Source Sans Pro" w:hAnsi="Source Sans Pro" w:cs="Arial"/>
                <w:sz w:val="16"/>
                <w:szCs w:val="16"/>
              </w:rPr>
              <w:t>Landesbank Hessen-Thüringen (Helaba)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4AF7E37F" w14:textId="4553A56E" w:rsidR="00FD0B89" w:rsidRPr="00462200" w:rsidRDefault="00FD0B89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FD0B89">
              <w:rPr>
                <w:rFonts w:ascii="Source Sans Pro" w:hAnsi="Source Sans Pro" w:cs="Arial"/>
                <w:sz w:val="16"/>
                <w:szCs w:val="16"/>
              </w:rPr>
              <w:t>Helicon Verwaltungsgesellschaft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22DF5994" w14:textId="0AA0D2EE" w:rsidR="00FD0B89" w:rsidRDefault="00FD0B89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232</w:t>
            </w:r>
          </w:p>
        </w:tc>
      </w:tr>
      <w:tr w:rsidR="001C0C8F" w:rsidRPr="00161817" w14:paraId="2742BAF9" w14:textId="77777777" w:rsidTr="001C0C8F">
        <w:trPr>
          <w:trHeight w:val="552"/>
        </w:trPr>
        <w:tc>
          <w:tcPr>
            <w:tcW w:w="687" w:type="dxa"/>
            <w:shd w:val="clear" w:color="auto" w:fill="D9D9D9" w:themeFill="background1" w:themeFillShade="D9"/>
            <w:vAlign w:val="center"/>
          </w:tcPr>
          <w:p w14:paraId="7DA48BBB" w14:textId="20F01603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HAM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2C918849" w14:textId="358934E7" w:rsidR="001C0C8F" w:rsidRPr="00462200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Klöpperhaus,</w:t>
            </w:r>
            <w:r>
              <w:rPr>
                <w:rFonts w:ascii="Source Sans Pro" w:hAnsi="Source Sans Pro" w:cs="Arial"/>
                <w:sz w:val="16"/>
                <w:szCs w:val="16"/>
              </w:rPr>
              <w:br/>
              <w:t>Mönckebergstraße 3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14:paraId="66261C07" w14:textId="6BBF4427" w:rsidR="001C0C8F" w:rsidRPr="00462200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FD0B89">
              <w:rPr>
                <w:rFonts w:ascii="Source Sans Pro" w:hAnsi="Source Sans Pro" w:cs="Arial"/>
                <w:sz w:val="16"/>
                <w:szCs w:val="16"/>
              </w:rPr>
              <w:t>Tishman Speyer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5F0E2BA2" w14:textId="476DCD8C" w:rsidR="001C0C8F" w:rsidRPr="00462200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FD0B89">
              <w:rPr>
                <w:rFonts w:ascii="Source Sans Pro" w:hAnsi="Source Sans Pro" w:cs="Arial"/>
                <w:sz w:val="16"/>
                <w:szCs w:val="16"/>
              </w:rPr>
              <w:t>Württembergische Leben</w:t>
            </w:r>
            <w:r w:rsidR="00075C3C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FD0B89">
              <w:rPr>
                <w:rFonts w:ascii="Source Sans Pro" w:hAnsi="Source Sans Pro" w:cs="Arial"/>
                <w:sz w:val="16"/>
                <w:szCs w:val="16"/>
              </w:rPr>
              <w:t>versicherung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3DACBFB1" w14:textId="44EB86B6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FD0B89">
              <w:rPr>
                <w:rFonts w:ascii="Source Sans Pro" w:hAnsi="Source Sans Pro" w:cs="Arial"/>
                <w:sz w:val="16"/>
                <w:szCs w:val="16"/>
              </w:rPr>
              <w:t xml:space="preserve">&gt; </w:t>
            </w:r>
            <w:r>
              <w:rPr>
                <w:rFonts w:ascii="Source Sans Pro" w:hAnsi="Source Sans Pro" w:cs="Arial"/>
                <w:sz w:val="16"/>
                <w:szCs w:val="16"/>
              </w:rPr>
              <w:t>160</w:t>
            </w:r>
          </w:p>
        </w:tc>
      </w:tr>
      <w:tr w:rsidR="001C0C8F" w:rsidRPr="00161817" w14:paraId="31B5D213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79B8D225" w14:textId="1F48F400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lastRenderedPageBreak/>
              <w:t>MUC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262C037" w14:textId="3F158B5A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Lauchstädter Straße 5-11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174D1AC" w14:textId="729D88C7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CV Real Estate AG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99CAF90" w14:textId="0B3EE025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JP Morgan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B081FB8" w14:textId="1381F8D2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160</w:t>
            </w:r>
          </w:p>
        </w:tc>
      </w:tr>
      <w:tr w:rsidR="001C0C8F" w:rsidRPr="00161817" w14:paraId="79056292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5904D20B" w14:textId="6D46F884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8FAE33D" w14:textId="0EA640E2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Quadriga, Apianstr. 2-20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BEC5C93" w14:textId="56B113CA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Apollo Global Management, LLC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5A83CD4" w14:textId="35A2CC5A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Aroundtown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2329184" w14:textId="3116F2EF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121</w:t>
            </w:r>
          </w:p>
        </w:tc>
      </w:tr>
      <w:tr w:rsidR="001C0C8F" w:rsidRPr="00161817" w14:paraId="16020E19" w14:textId="77777777" w:rsidTr="001C0C8F">
        <w:trPr>
          <w:trHeight w:val="552"/>
        </w:trPr>
        <w:tc>
          <w:tcPr>
            <w:tcW w:w="687" w:type="dxa"/>
            <w:shd w:val="clear" w:color="auto" w:fill="D9D9D9" w:themeFill="background1" w:themeFillShade="D9"/>
            <w:vAlign w:val="center"/>
          </w:tcPr>
          <w:p w14:paraId="3157CA89" w14:textId="4554AE2D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HAM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1001C197" w14:textId="27AE0BB0" w:rsidR="001C0C8F" w:rsidRPr="00462200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FD0B89">
              <w:rPr>
                <w:rFonts w:ascii="Source Sans Pro" w:hAnsi="Source Sans Pro" w:cs="Arial"/>
                <w:sz w:val="16"/>
                <w:szCs w:val="16"/>
              </w:rPr>
              <w:t>Amerigo-Vespucci-Platz 2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14:paraId="2E6C6CD6" w14:textId="4F700625" w:rsidR="001C0C8F" w:rsidRPr="00462200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FD0B89">
              <w:rPr>
                <w:rFonts w:ascii="Source Sans Pro" w:hAnsi="Source Sans Pro" w:cs="Arial"/>
                <w:sz w:val="16"/>
                <w:szCs w:val="16"/>
              </w:rPr>
              <w:t>Ampega Asset Management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10982350" w14:textId="3E753193" w:rsidR="001C0C8F" w:rsidRPr="00462200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FD0B89">
              <w:rPr>
                <w:rFonts w:ascii="Source Sans Pro" w:hAnsi="Source Sans Pro" w:cs="Arial"/>
                <w:sz w:val="16"/>
                <w:szCs w:val="16"/>
              </w:rPr>
              <w:t>HanseMerkur Grundvermögen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378F782C" w14:textId="0EA624DD" w:rsidR="001C0C8F" w:rsidRDefault="005B572B" w:rsidP="005B572B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B572B">
              <w:rPr>
                <w:rFonts w:ascii="Source Sans Pro" w:hAnsi="Source Sans Pro" w:cs="Arial"/>
                <w:sz w:val="16"/>
                <w:szCs w:val="16"/>
              </w:rPr>
              <w:t xml:space="preserve">&gt; </w:t>
            </w:r>
            <w:r w:rsidR="001C0C8F">
              <w:rPr>
                <w:rFonts w:ascii="Source Sans Pro" w:hAnsi="Source Sans Pro" w:cs="Arial"/>
                <w:sz w:val="16"/>
                <w:szCs w:val="16"/>
              </w:rPr>
              <w:t>1</w:t>
            </w:r>
            <w:r>
              <w:rPr>
                <w:rFonts w:ascii="Source Sans Pro" w:hAnsi="Source Sans Pro" w:cs="Arial"/>
                <w:sz w:val="16"/>
                <w:szCs w:val="16"/>
              </w:rPr>
              <w:t>0</w:t>
            </w:r>
            <w:r w:rsidR="001C0C8F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</w:tr>
      <w:tr w:rsidR="001C0C8F" w:rsidRPr="00161817" w14:paraId="4962DD99" w14:textId="77777777" w:rsidTr="00073A63">
        <w:trPr>
          <w:trHeight w:val="140"/>
        </w:trPr>
        <w:tc>
          <w:tcPr>
            <w:tcW w:w="687" w:type="dxa"/>
            <w:shd w:val="clear" w:color="auto" w:fill="AEAAAA" w:themeFill="background2" w:themeFillShade="BF"/>
            <w:vAlign w:val="center"/>
          </w:tcPr>
          <w:p w14:paraId="75742589" w14:textId="77777777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EAAAA" w:themeFill="background2" w:themeFillShade="BF"/>
            <w:vAlign w:val="center"/>
          </w:tcPr>
          <w:p w14:paraId="03D0F1B5" w14:textId="77777777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658" w:type="dxa"/>
            <w:shd w:val="clear" w:color="auto" w:fill="AEAAAA" w:themeFill="background2" w:themeFillShade="BF"/>
            <w:vAlign w:val="center"/>
          </w:tcPr>
          <w:p w14:paraId="01D566D4" w14:textId="77777777" w:rsidR="001C0C8F" w:rsidRPr="00392E9E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AEAAAA" w:themeFill="background2" w:themeFillShade="BF"/>
            <w:vAlign w:val="center"/>
          </w:tcPr>
          <w:p w14:paraId="72D67DB9" w14:textId="77777777" w:rsidR="001C0C8F" w:rsidRPr="00392E9E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EAAAA" w:themeFill="background2" w:themeFillShade="BF"/>
            <w:vAlign w:val="center"/>
          </w:tcPr>
          <w:p w14:paraId="29A21095" w14:textId="77777777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  <w:tr w:rsidR="001C0C8F" w:rsidRPr="00161817" w14:paraId="12D503D8" w14:textId="77777777" w:rsidTr="000021F4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2CA05D2E" w14:textId="4132A823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CGN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F236FCD" w14:textId="3D98D614" w:rsidR="001C0C8F" w:rsidRPr="009C2D11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FD0B89">
              <w:rPr>
                <w:rFonts w:ascii="Source Sans Pro" w:hAnsi="Source Sans Pro" w:cs="Arial"/>
                <w:sz w:val="16"/>
                <w:szCs w:val="16"/>
              </w:rPr>
              <w:t>Horbeller Str</w:t>
            </w:r>
            <w:r>
              <w:rPr>
                <w:rFonts w:ascii="Source Sans Pro" w:hAnsi="Source Sans Pro" w:cs="Arial"/>
                <w:sz w:val="16"/>
                <w:szCs w:val="16"/>
              </w:rPr>
              <w:t>aße 11 /</w:t>
            </w:r>
            <w:r w:rsidRPr="00FD0B89">
              <w:rPr>
                <w:rFonts w:ascii="Source Sans Pro" w:hAnsi="Source Sans Pro" w:cs="Arial"/>
                <w:sz w:val="16"/>
                <w:szCs w:val="16"/>
              </w:rPr>
              <w:t xml:space="preserve"> Maarweg 165</w:t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 /</w:t>
            </w:r>
            <w:r w:rsidRPr="00FD0B89">
              <w:rPr>
                <w:rFonts w:ascii="Source Sans Pro" w:hAnsi="Source Sans Pro" w:cs="Arial"/>
                <w:sz w:val="16"/>
                <w:szCs w:val="16"/>
              </w:rPr>
              <w:t xml:space="preserve"> G</w:t>
            </w:r>
            <w:r w:rsidR="00143FCB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FD0B89">
              <w:rPr>
                <w:rFonts w:ascii="Source Sans Pro" w:hAnsi="Source Sans Pro" w:cs="Arial"/>
                <w:sz w:val="16"/>
                <w:szCs w:val="16"/>
              </w:rPr>
              <w:t>reonsdriesch 13</w:t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 /</w:t>
            </w:r>
            <w:r w:rsidRPr="00FD0B89">
              <w:rPr>
                <w:rFonts w:ascii="Source Sans Pro" w:hAnsi="Source Sans Pro" w:cs="Arial"/>
                <w:sz w:val="16"/>
                <w:szCs w:val="16"/>
              </w:rPr>
              <w:t xml:space="preserve"> An den Dominikanern 6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D84C6E4" w14:textId="0D9FE9F2" w:rsidR="001C0C8F" w:rsidRPr="00462200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Brookfield Asset Management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9CEF43D" w14:textId="4ADE9678" w:rsidR="001C0C8F" w:rsidRPr="00462200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alstria office REIT-AG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7CB913" w14:textId="583F6437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  <w:tr w:rsidR="001C0C8F" w:rsidRPr="00161817" w14:paraId="5F44FAC1" w14:textId="77777777" w:rsidTr="000021F4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498977BA" w14:textId="2313E866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FFM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9C2F037" w14:textId="1D6B2A24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9C2D11">
              <w:rPr>
                <w:rFonts w:ascii="Source Sans Pro" w:hAnsi="Source Sans Pro" w:cs="Arial"/>
                <w:sz w:val="16"/>
                <w:szCs w:val="16"/>
              </w:rPr>
              <w:t>Kastor, Platz der Einheit 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6863910" w14:textId="2F794117" w:rsidR="001C0C8F" w:rsidRPr="00392E9E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Brookfield Asset Management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647CE70" w14:textId="59C2CCB8" w:rsidR="001C0C8F" w:rsidRPr="00392E9E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alstria office REIT-AG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BC77E4B" w14:textId="2134A5FB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  <w:tr w:rsidR="001C0C8F" w:rsidRPr="00161817" w14:paraId="72F51164" w14:textId="77777777" w:rsidTr="000021F4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6E275A54" w14:textId="0282839B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STG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6C13D07" w14:textId="7887DE11" w:rsidR="001C0C8F" w:rsidRPr="00632159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Epplestraße 22</w:t>
            </w:r>
            <w:r>
              <w:rPr>
                <w:rFonts w:ascii="Source Sans Pro" w:hAnsi="Source Sans Pro" w:cs="Arial"/>
                <w:sz w:val="16"/>
                <w:szCs w:val="16"/>
              </w:rPr>
              <w:t>2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E4F20C3" w14:textId="5B8D7097" w:rsidR="001C0C8F" w:rsidRPr="00462200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Brookfield Asset Management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CA8D658" w14:textId="5C253CC0" w:rsidR="001C0C8F" w:rsidRPr="00462200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alstria office REIT-AG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433D167" w14:textId="1B98812C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  <w:tr w:rsidR="001C0C8F" w:rsidRPr="00161817" w14:paraId="0522854A" w14:textId="77777777" w:rsidTr="000021F4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4C3D97D4" w14:textId="3EA17412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FFM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1F66CD0" w14:textId="75D6A70D" w:rsidR="001C0C8F" w:rsidRPr="009C2D11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32159">
              <w:rPr>
                <w:rFonts w:ascii="Source Sans Pro" w:hAnsi="Source Sans Pro" w:cs="Arial"/>
                <w:sz w:val="16"/>
                <w:szCs w:val="16"/>
              </w:rPr>
              <w:t>Solmsstraße 27-37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5B96EBC" w14:textId="5623CB4C" w:rsidR="001C0C8F" w:rsidRPr="00462200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Brookfield Asset Management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5D9EFDA" w14:textId="363B14BA" w:rsidR="001C0C8F" w:rsidRPr="00462200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alstria office REIT-AG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4D33199" w14:textId="1396EF8D" w:rsidR="001C0C8F" w:rsidRDefault="001C0C8F" w:rsidP="001C0C8F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</w:tbl>
    <w:p w14:paraId="42561C64" w14:textId="7751DD71" w:rsidR="00966A04" w:rsidRDefault="00BF5E1D" w:rsidP="00EF0944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 w:rsidRPr="00BF5E1D">
        <w:rPr>
          <w:rFonts w:ascii="Source Sans Pro" w:hAnsi="Source Sans Pro" w:cs="Arial"/>
          <w:sz w:val="16"/>
          <w:szCs w:val="16"/>
        </w:rPr>
        <w:t xml:space="preserve">Deals aus diesem Berichtsquartal sind grau hinterlegt. </w:t>
      </w:r>
      <w:r w:rsidR="00161817" w:rsidRPr="00161817">
        <w:rPr>
          <w:rFonts w:ascii="Source Sans Pro" w:hAnsi="Source Sans Pro" w:cs="Arial"/>
          <w:sz w:val="16"/>
          <w:szCs w:val="16"/>
        </w:rPr>
        <w:t>Quelle:</w:t>
      </w:r>
      <w:r w:rsidR="00161817" w:rsidRPr="00161817">
        <w:rPr>
          <w:rFonts w:ascii="Source Sans Pro" w:hAnsi="Source Sans Pro" w:cs="Arial"/>
          <w:sz w:val="16"/>
          <w:szCs w:val="16"/>
          <w:lang w:val="en-GB"/>
        </w:rPr>
        <w:t xml:space="preserve"> German Property Partners (GPP)</w:t>
      </w:r>
    </w:p>
    <w:p w14:paraId="42791304" w14:textId="1BE95E1F" w:rsidR="00161817" w:rsidRPr="00EF0944" w:rsidRDefault="00073A63" w:rsidP="00EF0944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>
        <w:rPr>
          <w:rFonts w:ascii="Source Sans Pro" w:hAnsi="Source Sans Pro" w:cs="Arial"/>
          <w:b/>
          <w:sz w:val="20"/>
          <w:lang w:val="en-GB"/>
        </w:rPr>
        <w:br/>
      </w:r>
      <w:r w:rsidR="00BF5E1D">
        <w:rPr>
          <w:rFonts w:ascii="Source Sans Pro" w:hAnsi="Source Sans Pro" w:cs="Arial"/>
          <w:b/>
          <w:sz w:val="20"/>
          <w:lang w:val="en-GB"/>
        </w:rPr>
        <w:t>Top-7-Standorte | 1.-2</w:t>
      </w:r>
      <w:r w:rsidR="00B46BC1">
        <w:rPr>
          <w:rFonts w:ascii="Source Sans Pro" w:hAnsi="Source Sans Pro" w:cs="Arial"/>
          <w:b/>
          <w:sz w:val="20"/>
          <w:lang w:val="en-GB"/>
        </w:rPr>
        <w:t>.</w:t>
      </w:r>
      <w:r w:rsidR="00161817" w:rsidRPr="00161817">
        <w:rPr>
          <w:rFonts w:ascii="Source Sans Pro" w:hAnsi="Source Sans Pro" w:cs="Arial"/>
          <w:b/>
          <w:sz w:val="20"/>
          <w:lang w:val="en-GB"/>
        </w:rPr>
        <w:t xml:space="preserve"> </w:t>
      </w:r>
      <w:r w:rsidR="00161817" w:rsidRPr="00161817">
        <w:rPr>
          <w:rFonts w:ascii="Source Sans Pro" w:hAnsi="Source Sans Pro" w:cs="Arial"/>
          <w:b/>
          <w:sz w:val="20"/>
        </w:rPr>
        <w:t>Quartal 202</w:t>
      </w:r>
      <w:r w:rsidR="00F40B12">
        <w:rPr>
          <w:rFonts w:ascii="Source Sans Pro" w:hAnsi="Source Sans Pro" w:cs="Arial"/>
          <w:b/>
          <w:sz w:val="20"/>
        </w:rPr>
        <w:t>2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39"/>
        <w:gridCol w:w="817"/>
        <w:gridCol w:w="816"/>
        <w:gridCol w:w="933"/>
        <w:gridCol w:w="937"/>
        <w:gridCol w:w="937"/>
        <w:gridCol w:w="932"/>
        <w:gridCol w:w="936"/>
        <w:gridCol w:w="800"/>
      </w:tblGrid>
      <w:tr w:rsidR="00161817" w:rsidRPr="00161817" w14:paraId="22958352" w14:textId="77777777" w:rsidTr="009E6C40">
        <w:tc>
          <w:tcPr>
            <w:tcW w:w="1939" w:type="dxa"/>
          </w:tcPr>
          <w:p w14:paraId="39DB6921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817" w:type="dxa"/>
          </w:tcPr>
          <w:p w14:paraId="315CE750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HAM</w:t>
            </w:r>
          </w:p>
        </w:tc>
        <w:tc>
          <w:tcPr>
            <w:tcW w:w="816" w:type="dxa"/>
          </w:tcPr>
          <w:p w14:paraId="5422B71C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BER</w:t>
            </w:r>
          </w:p>
        </w:tc>
        <w:tc>
          <w:tcPr>
            <w:tcW w:w="933" w:type="dxa"/>
          </w:tcPr>
          <w:p w14:paraId="52D79F36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DUS</w:t>
            </w:r>
          </w:p>
        </w:tc>
        <w:tc>
          <w:tcPr>
            <w:tcW w:w="937" w:type="dxa"/>
          </w:tcPr>
          <w:p w14:paraId="3503C5FE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CGN</w:t>
            </w:r>
          </w:p>
        </w:tc>
        <w:tc>
          <w:tcPr>
            <w:tcW w:w="937" w:type="dxa"/>
          </w:tcPr>
          <w:p w14:paraId="6CCF5FE9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FFM</w:t>
            </w:r>
          </w:p>
        </w:tc>
        <w:tc>
          <w:tcPr>
            <w:tcW w:w="932" w:type="dxa"/>
          </w:tcPr>
          <w:p w14:paraId="6A9F6826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STU</w:t>
            </w:r>
          </w:p>
        </w:tc>
        <w:tc>
          <w:tcPr>
            <w:tcW w:w="936" w:type="dxa"/>
          </w:tcPr>
          <w:p w14:paraId="006B7969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MUC</w:t>
            </w:r>
          </w:p>
        </w:tc>
        <w:tc>
          <w:tcPr>
            <w:tcW w:w="800" w:type="dxa"/>
          </w:tcPr>
          <w:p w14:paraId="361D716F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TOP-7</w:t>
            </w:r>
          </w:p>
        </w:tc>
      </w:tr>
      <w:tr w:rsidR="00161817" w:rsidRPr="00161817" w14:paraId="5211E41C" w14:textId="77777777" w:rsidTr="009E6C40">
        <w:tc>
          <w:tcPr>
            <w:tcW w:w="1939" w:type="dxa"/>
          </w:tcPr>
          <w:p w14:paraId="5CDBB77B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TAV</w:t>
            </w:r>
          </w:p>
          <w:p w14:paraId="741AC997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in Mio. €</w:t>
            </w:r>
          </w:p>
        </w:tc>
        <w:tc>
          <w:tcPr>
            <w:tcW w:w="817" w:type="dxa"/>
            <w:vAlign w:val="center"/>
          </w:tcPr>
          <w:p w14:paraId="42B492E0" w14:textId="7001CDA8" w:rsidR="00161817" w:rsidRPr="00161817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2.300</w:t>
            </w:r>
          </w:p>
        </w:tc>
        <w:tc>
          <w:tcPr>
            <w:tcW w:w="816" w:type="dxa"/>
            <w:vAlign w:val="center"/>
          </w:tcPr>
          <w:p w14:paraId="2473804E" w14:textId="6B10E020" w:rsidR="00161817" w:rsidRPr="000610DA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4.100</w:t>
            </w:r>
          </w:p>
        </w:tc>
        <w:tc>
          <w:tcPr>
            <w:tcW w:w="933" w:type="dxa"/>
            <w:vAlign w:val="center"/>
          </w:tcPr>
          <w:p w14:paraId="7E0DFD82" w14:textId="77C63E6E" w:rsidR="00161817" w:rsidRPr="00EC4845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1.485</w:t>
            </w:r>
          </w:p>
        </w:tc>
        <w:tc>
          <w:tcPr>
            <w:tcW w:w="937" w:type="dxa"/>
            <w:vAlign w:val="center"/>
          </w:tcPr>
          <w:p w14:paraId="79C367DF" w14:textId="7A0B2C3F" w:rsidR="00161817" w:rsidRPr="00161817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600</w:t>
            </w:r>
          </w:p>
        </w:tc>
        <w:tc>
          <w:tcPr>
            <w:tcW w:w="937" w:type="dxa"/>
            <w:vAlign w:val="center"/>
          </w:tcPr>
          <w:p w14:paraId="5874DBC2" w14:textId="59DDF9C1" w:rsidR="00161817" w:rsidRPr="00161817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3.243</w:t>
            </w:r>
          </w:p>
        </w:tc>
        <w:tc>
          <w:tcPr>
            <w:tcW w:w="932" w:type="dxa"/>
            <w:vAlign w:val="center"/>
          </w:tcPr>
          <w:p w14:paraId="161F8429" w14:textId="1D2FFA03" w:rsidR="00161817" w:rsidRPr="00E06757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643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21DD4D6" w14:textId="25B3DAF2" w:rsidR="00161817" w:rsidRPr="00E06757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1.324</w:t>
            </w:r>
          </w:p>
        </w:tc>
        <w:tc>
          <w:tcPr>
            <w:tcW w:w="800" w:type="dxa"/>
            <w:vAlign w:val="center"/>
          </w:tcPr>
          <w:p w14:paraId="5D7AFB91" w14:textId="4EEF2083" w:rsidR="00161817" w:rsidRPr="00E06757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13.695</w:t>
            </w:r>
          </w:p>
        </w:tc>
      </w:tr>
      <w:tr w:rsidR="00161817" w:rsidRPr="00161817" w14:paraId="6B0F06BC" w14:textId="77777777" w:rsidTr="009E6C40">
        <w:tc>
          <w:tcPr>
            <w:tcW w:w="1939" w:type="dxa"/>
          </w:tcPr>
          <w:p w14:paraId="1368D85F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Veränderung</w:t>
            </w:r>
          </w:p>
          <w:p w14:paraId="384171F4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ggü. Vorjahr</w:t>
            </w: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41BD7562" w14:textId="05064AC7" w:rsidR="00161817" w:rsidRPr="00B46BC1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+111</w:t>
            </w:r>
          </w:p>
        </w:tc>
        <w:tc>
          <w:tcPr>
            <w:tcW w:w="816" w:type="dxa"/>
            <w:vAlign w:val="center"/>
          </w:tcPr>
          <w:p w14:paraId="1C4CFEFB" w14:textId="66201F1F" w:rsidR="00161817" w:rsidRPr="000610DA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-5</w:t>
            </w:r>
          </w:p>
        </w:tc>
        <w:tc>
          <w:tcPr>
            <w:tcW w:w="933" w:type="dxa"/>
            <w:vAlign w:val="center"/>
          </w:tcPr>
          <w:p w14:paraId="50DE9682" w14:textId="297DEDF4" w:rsidR="00161817" w:rsidRPr="00EC4845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+61</w:t>
            </w:r>
          </w:p>
        </w:tc>
        <w:tc>
          <w:tcPr>
            <w:tcW w:w="937" w:type="dxa"/>
            <w:vAlign w:val="center"/>
          </w:tcPr>
          <w:p w14:paraId="0640E354" w14:textId="5413C33E" w:rsidR="00161817" w:rsidRPr="00073A63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-25</w:t>
            </w:r>
          </w:p>
        </w:tc>
        <w:tc>
          <w:tcPr>
            <w:tcW w:w="937" w:type="dxa"/>
            <w:vAlign w:val="center"/>
          </w:tcPr>
          <w:p w14:paraId="025DC8CA" w14:textId="16518F73" w:rsidR="00161817" w:rsidRPr="00073A63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+75</w:t>
            </w:r>
          </w:p>
        </w:tc>
        <w:tc>
          <w:tcPr>
            <w:tcW w:w="932" w:type="dxa"/>
            <w:vAlign w:val="center"/>
          </w:tcPr>
          <w:p w14:paraId="62EC947E" w14:textId="6C14B542" w:rsidR="00161817" w:rsidRPr="00E06757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+43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9099EF0" w14:textId="7B695355" w:rsidR="00161817" w:rsidRPr="00E06757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-57</w:t>
            </w:r>
          </w:p>
        </w:tc>
        <w:tc>
          <w:tcPr>
            <w:tcW w:w="800" w:type="dxa"/>
            <w:vAlign w:val="center"/>
          </w:tcPr>
          <w:p w14:paraId="71231CA6" w14:textId="5C201B89" w:rsidR="00161817" w:rsidRPr="00E06757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+10</w:t>
            </w:r>
          </w:p>
        </w:tc>
      </w:tr>
      <w:tr w:rsidR="00161817" w:rsidRPr="00161817" w14:paraId="7F708548" w14:textId="77777777" w:rsidTr="009E6C40">
        <w:tc>
          <w:tcPr>
            <w:tcW w:w="1939" w:type="dxa"/>
          </w:tcPr>
          <w:p w14:paraId="3A825302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Spitzenrendite* Büro</w:t>
            </w:r>
          </w:p>
          <w:p w14:paraId="34B73F2E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74FF9E2D" w14:textId="52CD6503" w:rsidR="00161817" w:rsidRPr="000610DA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2,60</w:t>
            </w:r>
          </w:p>
        </w:tc>
        <w:tc>
          <w:tcPr>
            <w:tcW w:w="816" w:type="dxa"/>
            <w:vAlign w:val="center"/>
          </w:tcPr>
          <w:p w14:paraId="0D6415B8" w14:textId="467DD524" w:rsidR="00161817" w:rsidRPr="000610DA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2,85</w:t>
            </w:r>
          </w:p>
        </w:tc>
        <w:tc>
          <w:tcPr>
            <w:tcW w:w="933" w:type="dxa"/>
            <w:vAlign w:val="center"/>
          </w:tcPr>
          <w:p w14:paraId="53A1E093" w14:textId="189A2FB0" w:rsidR="00161817" w:rsidRPr="00EC4845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2,80</w:t>
            </w:r>
          </w:p>
        </w:tc>
        <w:tc>
          <w:tcPr>
            <w:tcW w:w="937" w:type="dxa"/>
            <w:vAlign w:val="center"/>
          </w:tcPr>
          <w:p w14:paraId="0431521B" w14:textId="57716F51" w:rsidR="00161817" w:rsidRPr="00073A63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2,70</w:t>
            </w:r>
          </w:p>
        </w:tc>
        <w:tc>
          <w:tcPr>
            <w:tcW w:w="937" w:type="dxa"/>
            <w:vAlign w:val="center"/>
          </w:tcPr>
          <w:p w14:paraId="73277C18" w14:textId="43E3DD0E" w:rsidR="00161817" w:rsidRPr="00073A63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3,00</w:t>
            </w:r>
          </w:p>
        </w:tc>
        <w:tc>
          <w:tcPr>
            <w:tcW w:w="932" w:type="dxa"/>
            <w:vAlign w:val="center"/>
          </w:tcPr>
          <w:p w14:paraId="4CD09DF4" w14:textId="4710BB84" w:rsidR="00161817" w:rsidRPr="00E06757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2,70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486F95" w14:textId="3B3A22D5" w:rsidR="00161817" w:rsidRPr="00E06757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2,70</w:t>
            </w:r>
          </w:p>
        </w:tc>
        <w:tc>
          <w:tcPr>
            <w:tcW w:w="800" w:type="dxa"/>
            <w:vAlign w:val="center"/>
          </w:tcPr>
          <w:p w14:paraId="47ED8E15" w14:textId="31F54C99" w:rsidR="00161817" w:rsidRPr="00E06757" w:rsidRDefault="00FB563F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2,76</w:t>
            </w:r>
          </w:p>
        </w:tc>
      </w:tr>
      <w:tr w:rsidR="00161817" w:rsidRPr="00161817" w14:paraId="24583354" w14:textId="77777777" w:rsidTr="009E6C40">
        <w:tc>
          <w:tcPr>
            <w:tcW w:w="1939" w:type="dxa"/>
          </w:tcPr>
          <w:p w14:paraId="1AB60A34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ggü. Vorjahr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%-Pkt.</w:t>
            </w:r>
          </w:p>
        </w:tc>
        <w:tc>
          <w:tcPr>
            <w:tcW w:w="817" w:type="dxa"/>
            <w:vAlign w:val="center"/>
          </w:tcPr>
          <w:p w14:paraId="54B227DC" w14:textId="003809DC" w:rsidR="00161817" w:rsidRPr="00161817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C0436">
              <w:rPr>
                <w:rFonts w:ascii="Source Sans Pro" w:hAnsi="Source Sans Pro" w:cs="Arial"/>
                <w:sz w:val="16"/>
                <w:szCs w:val="16"/>
              </w:rPr>
              <w:t>±0,00</w:t>
            </w:r>
          </w:p>
        </w:tc>
        <w:tc>
          <w:tcPr>
            <w:tcW w:w="816" w:type="dxa"/>
            <w:vAlign w:val="center"/>
          </w:tcPr>
          <w:p w14:paraId="51AFFAE3" w14:textId="601910DA" w:rsidR="00161817" w:rsidRPr="000610DA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+0,20</w:t>
            </w:r>
          </w:p>
        </w:tc>
        <w:tc>
          <w:tcPr>
            <w:tcW w:w="933" w:type="dxa"/>
            <w:vAlign w:val="center"/>
          </w:tcPr>
          <w:p w14:paraId="6738B9BE" w14:textId="49B8D451" w:rsidR="00161817" w:rsidRPr="00161817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-0,10</w:t>
            </w:r>
          </w:p>
        </w:tc>
        <w:tc>
          <w:tcPr>
            <w:tcW w:w="937" w:type="dxa"/>
            <w:vAlign w:val="center"/>
          </w:tcPr>
          <w:p w14:paraId="063AA1B7" w14:textId="2902C763" w:rsidR="00161817" w:rsidRPr="00073A63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-0,30</w:t>
            </w:r>
          </w:p>
        </w:tc>
        <w:tc>
          <w:tcPr>
            <w:tcW w:w="937" w:type="dxa"/>
            <w:vAlign w:val="center"/>
          </w:tcPr>
          <w:p w14:paraId="125AAE58" w14:textId="2B713C72" w:rsidR="00161817" w:rsidRPr="00073A63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+0,10</w:t>
            </w:r>
          </w:p>
        </w:tc>
        <w:tc>
          <w:tcPr>
            <w:tcW w:w="932" w:type="dxa"/>
            <w:vAlign w:val="center"/>
          </w:tcPr>
          <w:p w14:paraId="3BDF16AC" w14:textId="57CE5076" w:rsidR="00161817" w:rsidRPr="00073A63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-0,40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875A0DE" w14:textId="35B70000" w:rsidR="00161817" w:rsidRPr="00462200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-0,30</w:t>
            </w:r>
          </w:p>
        </w:tc>
        <w:tc>
          <w:tcPr>
            <w:tcW w:w="800" w:type="dxa"/>
            <w:vAlign w:val="center"/>
          </w:tcPr>
          <w:p w14:paraId="53A9636D" w14:textId="4DC83314" w:rsidR="00161817" w:rsidRPr="00161817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-0,11</w:t>
            </w:r>
          </w:p>
        </w:tc>
      </w:tr>
      <w:tr w:rsidR="00161817" w:rsidRPr="00161817" w14:paraId="2D937C1C" w14:textId="77777777" w:rsidTr="009E6C40">
        <w:tc>
          <w:tcPr>
            <w:tcW w:w="1939" w:type="dxa"/>
          </w:tcPr>
          <w:p w14:paraId="66B5D21D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Spitzenrendite* Logistik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684A9001" w14:textId="3B9BF56C" w:rsidR="00161817" w:rsidRPr="00FB551B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3,30</w:t>
            </w:r>
          </w:p>
        </w:tc>
        <w:tc>
          <w:tcPr>
            <w:tcW w:w="816" w:type="dxa"/>
            <w:vAlign w:val="center"/>
          </w:tcPr>
          <w:p w14:paraId="0F835EAB" w14:textId="708370A0" w:rsidR="00161817" w:rsidRPr="005C0436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C0436">
              <w:rPr>
                <w:rFonts w:ascii="Source Sans Pro" w:hAnsi="Source Sans Pro" w:cs="Arial"/>
                <w:sz w:val="16"/>
                <w:szCs w:val="16"/>
              </w:rPr>
              <w:t>3,20</w:t>
            </w:r>
          </w:p>
        </w:tc>
        <w:tc>
          <w:tcPr>
            <w:tcW w:w="933" w:type="dxa"/>
            <w:vAlign w:val="center"/>
          </w:tcPr>
          <w:p w14:paraId="3DD3739A" w14:textId="378FDC87" w:rsidR="00161817" w:rsidRPr="00161817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3,45</w:t>
            </w:r>
          </w:p>
        </w:tc>
        <w:tc>
          <w:tcPr>
            <w:tcW w:w="937" w:type="dxa"/>
            <w:vAlign w:val="center"/>
          </w:tcPr>
          <w:p w14:paraId="7406BE99" w14:textId="12185C07" w:rsidR="00161817" w:rsidRPr="00073A63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3,20</w:t>
            </w:r>
          </w:p>
        </w:tc>
        <w:tc>
          <w:tcPr>
            <w:tcW w:w="937" w:type="dxa"/>
            <w:vAlign w:val="center"/>
          </w:tcPr>
          <w:p w14:paraId="41CAE3C0" w14:textId="7CA71B6F" w:rsidR="00161817" w:rsidRPr="00073A63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3,80</w:t>
            </w:r>
          </w:p>
        </w:tc>
        <w:tc>
          <w:tcPr>
            <w:tcW w:w="932" w:type="dxa"/>
            <w:vAlign w:val="center"/>
          </w:tcPr>
          <w:p w14:paraId="1F901372" w14:textId="410763E5" w:rsidR="00161817" w:rsidRPr="00073A63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3,50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546B5F5" w14:textId="0EB6526F" w:rsidR="00161817" w:rsidRPr="00462200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3,10</w:t>
            </w:r>
          </w:p>
        </w:tc>
        <w:tc>
          <w:tcPr>
            <w:tcW w:w="800" w:type="dxa"/>
            <w:vAlign w:val="center"/>
          </w:tcPr>
          <w:p w14:paraId="34BF6507" w14:textId="1E13BB53" w:rsidR="00161817" w:rsidRPr="00161817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3,36</w:t>
            </w:r>
          </w:p>
        </w:tc>
      </w:tr>
      <w:tr w:rsidR="00161817" w:rsidRPr="00161817" w14:paraId="5A0BD9F2" w14:textId="77777777" w:rsidTr="009E6C40">
        <w:tc>
          <w:tcPr>
            <w:tcW w:w="1939" w:type="dxa"/>
          </w:tcPr>
          <w:p w14:paraId="0E0D0B5A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ggü. Vorjahr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%-Pkt.</w:t>
            </w:r>
          </w:p>
        </w:tc>
        <w:tc>
          <w:tcPr>
            <w:tcW w:w="817" w:type="dxa"/>
            <w:vAlign w:val="center"/>
          </w:tcPr>
          <w:p w14:paraId="2579329F" w14:textId="57DF9452" w:rsidR="00161817" w:rsidRPr="00072A30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-0,50</w:t>
            </w:r>
          </w:p>
        </w:tc>
        <w:tc>
          <w:tcPr>
            <w:tcW w:w="816" w:type="dxa"/>
            <w:vAlign w:val="center"/>
          </w:tcPr>
          <w:p w14:paraId="3597B6B5" w14:textId="33D46299" w:rsidR="00161817" w:rsidRPr="00161817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-0,30</w:t>
            </w:r>
          </w:p>
        </w:tc>
        <w:tc>
          <w:tcPr>
            <w:tcW w:w="933" w:type="dxa"/>
            <w:vAlign w:val="center"/>
          </w:tcPr>
          <w:p w14:paraId="18491965" w14:textId="40D9DB28" w:rsidR="00161817" w:rsidRPr="00161817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-0,30</w:t>
            </w:r>
          </w:p>
        </w:tc>
        <w:tc>
          <w:tcPr>
            <w:tcW w:w="937" w:type="dxa"/>
            <w:vAlign w:val="center"/>
          </w:tcPr>
          <w:p w14:paraId="475FF0C9" w14:textId="217D0F70" w:rsidR="00161817" w:rsidRPr="00073A63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-0,40</w:t>
            </w:r>
          </w:p>
        </w:tc>
        <w:tc>
          <w:tcPr>
            <w:tcW w:w="937" w:type="dxa"/>
            <w:vAlign w:val="center"/>
          </w:tcPr>
          <w:p w14:paraId="46A53898" w14:textId="71573F00" w:rsidR="00161817" w:rsidRPr="00073A63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+0,20</w:t>
            </w:r>
          </w:p>
        </w:tc>
        <w:tc>
          <w:tcPr>
            <w:tcW w:w="932" w:type="dxa"/>
            <w:vAlign w:val="center"/>
          </w:tcPr>
          <w:p w14:paraId="4B78F66F" w14:textId="4CCD27FC" w:rsidR="00161817" w:rsidRPr="00073A63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-0,50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92EAA5" w14:textId="0B22D616" w:rsidR="00161817" w:rsidRPr="00462200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-0,50</w:t>
            </w:r>
          </w:p>
        </w:tc>
        <w:tc>
          <w:tcPr>
            <w:tcW w:w="800" w:type="dxa"/>
            <w:vAlign w:val="center"/>
          </w:tcPr>
          <w:p w14:paraId="7140B27A" w14:textId="3509F550" w:rsidR="00161817" w:rsidRPr="00161817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-0,33</w:t>
            </w:r>
          </w:p>
        </w:tc>
      </w:tr>
      <w:tr w:rsidR="00161817" w:rsidRPr="00161817" w14:paraId="57899BA9" w14:textId="77777777" w:rsidTr="009E6C40">
        <w:tc>
          <w:tcPr>
            <w:tcW w:w="1939" w:type="dxa"/>
          </w:tcPr>
          <w:p w14:paraId="13B4FAD9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Stärkste</w:t>
            </w:r>
          </w:p>
          <w:p w14:paraId="210819D2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Assetklasse</w:t>
            </w:r>
          </w:p>
        </w:tc>
        <w:tc>
          <w:tcPr>
            <w:tcW w:w="817" w:type="dxa"/>
            <w:vAlign w:val="center"/>
          </w:tcPr>
          <w:p w14:paraId="4ED34F9A" w14:textId="6A6BA43F" w:rsidR="00161817" w:rsidRPr="00161817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816" w:type="dxa"/>
            <w:vAlign w:val="center"/>
          </w:tcPr>
          <w:p w14:paraId="1BA19745" w14:textId="1B3A13FC" w:rsidR="00161817" w:rsidRPr="00161817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3" w:type="dxa"/>
            <w:vAlign w:val="center"/>
          </w:tcPr>
          <w:p w14:paraId="2135011E" w14:textId="41914708" w:rsidR="00161817" w:rsidRPr="00161817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7" w:type="dxa"/>
            <w:vAlign w:val="center"/>
          </w:tcPr>
          <w:p w14:paraId="0978A794" w14:textId="256C2373" w:rsidR="00161817" w:rsidRPr="00073A63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7" w:type="dxa"/>
            <w:vAlign w:val="center"/>
          </w:tcPr>
          <w:p w14:paraId="74C19DC6" w14:textId="1E058844" w:rsidR="00161817" w:rsidRPr="00073A63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2" w:type="dxa"/>
            <w:vAlign w:val="center"/>
          </w:tcPr>
          <w:p w14:paraId="42CE99EF" w14:textId="58A9F0D1" w:rsidR="00161817" w:rsidRPr="00073A63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AF439F9" w14:textId="7FD167E6" w:rsidR="00161817" w:rsidRPr="00462200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800" w:type="dxa"/>
            <w:vAlign w:val="center"/>
          </w:tcPr>
          <w:p w14:paraId="5660B842" w14:textId="3884C365" w:rsidR="00161817" w:rsidRPr="005C0436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C0436">
              <w:rPr>
                <w:rFonts w:ascii="Source Sans Pro" w:hAnsi="Source Sans Pro" w:cs="Arial"/>
                <w:b/>
                <w:sz w:val="16"/>
                <w:szCs w:val="16"/>
              </w:rPr>
              <w:t>Büro</w:t>
            </w:r>
          </w:p>
        </w:tc>
      </w:tr>
      <w:tr w:rsidR="00161817" w:rsidRPr="00161817" w14:paraId="7FF3344D" w14:textId="77777777" w:rsidTr="009E6C40">
        <w:tc>
          <w:tcPr>
            <w:tcW w:w="1939" w:type="dxa"/>
          </w:tcPr>
          <w:p w14:paraId="55257A82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Stärkste</w:t>
            </w:r>
          </w:p>
          <w:p w14:paraId="19D9BE72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Assetklasse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516BE07F" w14:textId="2AB69F40" w:rsidR="00161817" w:rsidRPr="00161817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79</w:t>
            </w:r>
          </w:p>
        </w:tc>
        <w:tc>
          <w:tcPr>
            <w:tcW w:w="816" w:type="dxa"/>
            <w:vAlign w:val="center"/>
          </w:tcPr>
          <w:p w14:paraId="3290541C" w14:textId="6731D7EB" w:rsidR="00161817" w:rsidRPr="00161817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63</w:t>
            </w:r>
          </w:p>
        </w:tc>
        <w:tc>
          <w:tcPr>
            <w:tcW w:w="933" w:type="dxa"/>
            <w:vAlign w:val="center"/>
          </w:tcPr>
          <w:p w14:paraId="65F78631" w14:textId="7FA226D1" w:rsidR="00161817" w:rsidRPr="00161817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90</w:t>
            </w:r>
          </w:p>
        </w:tc>
        <w:tc>
          <w:tcPr>
            <w:tcW w:w="937" w:type="dxa"/>
            <w:vAlign w:val="center"/>
          </w:tcPr>
          <w:p w14:paraId="63E405B4" w14:textId="41FF3B1C" w:rsidR="00161817" w:rsidRPr="00073A63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63</w:t>
            </w:r>
          </w:p>
        </w:tc>
        <w:tc>
          <w:tcPr>
            <w:tcW w:w="937" w:type="dxa"/>
            <w:vAlign w:val="center"/>
          </w:tcPr>
          <w:p w14:paraId="3DBBA68E" w14:textId="3477CC50" w:rsidR="00161817" w:rsidRPr="00073A63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86</w:t>
            </w:r>
          </w:p>
        </w:tc>
        <w:tc>
          <w:tcPr>
            <w:tcW w:w="932" w:type="dxa"/>
            <w:vAlign w:val="center"/>
          </w:tcPr>
          <w:p w14:paraId="62F15918" w14:textId="0F974FA0" w:rsidR="00161817" w:rsidRPr="00073A63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FF3E0CF" w14:textId="2AA693B7" w:rsidR="00161817" w:rsidRPr="00462200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59</w:t>
            </w:r>
          </w:p>
        </w:tc>
        <w:tc>
          <w:tcPr>
            <w:tcW w:w="800" w:type="dxa"/>
            <w:vAlign w:val="center"/>
          </w:tcPr>
          <w:p w14:paraId="2A043F0A" w14:textId="6326B148" w:rsidR="00161817" w:rsidRPr="00161817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74</w:t>
            </w:r>
          </w:p>
        </w:tc>
      </w:tr>
    </w:tbl>
    <w:p w14:paraId="24F7C797" w14:textId="5003AE93" w:rsidR="00DA733A" w:rsidRPr="00161817" w:rsidRDefault="00161817" w:rsidP="00DA733A">
      <w:pPr>
        <w:pStyle w:val="EinfAbs"/>
        <w:tabs>
          <w:tab w:val="left" w:pos="200"/>
        </w:tabs>
        <w:jc w:val="both"/>
        <w:rPr>
          <w:rFonts w:ascii="Source Sans Pro" w:hAnsi="Source Sans Pro" w:cs="Arial"/>
          <w:sz w:val="16"/>
          <w:szCs w:val="16"/>
        </w:rPr>
      </w:pPr>
      <w:r w:rsidRPr="00161817">
        <w:rPr>
          <w:rFonts w:ascii="Source Sans Pro" w:hAnsi="Source Sans Pro" w:cs="Arial"/>
          <w:sz w:val="16"/>
          <w:szCs w:val="16"/>
        </w:rPr>
        <w:t>* Nettoanfangsrendite; Quelle: German Property Partners (GPP)</w:t>
      </w:r>
    </w:p>
    <w:p w14:paraId="384D0EB4" w14:textId="77777777" w:rsidR="00161817" w:rsidRDefault="00161817" w:rsidP="00DA733A">
      <w:pPr>
        <w:pStyle w:val="EinfAbs"/>
        <w:tabs>
          <w:tab w:val="left" w:pos="200"/>
        </w:tabs>
        <w:jc w:val="both"/>
        <w:rPr>
          <w:rFonts w:ascii="Source Sans Pro" w:hAnsi="Source Sans Pro" w:cs="Source Sans Pro"/>
          <w:sz w:val="22"/>
          <w:szCs w:val="22"/>
        </w:rPr>
      </w:pPr>
    </w:p>
    <w:p w14:paraId="50B0AF24" w14:textId="04CDDE4D" w:rsidR="00DA733A" w:rsidRPr="00966A04" w:rsidRDefault="002B63FD" w:rsidP="00966A04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>ÜBER GERMAN PROPERTY PARTNERS</w:t>
      </w:r>
      <w:r w:rsidR="00DA733A"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 xml:space="preserve"> </w:t>
      </w:r>
    </w:p>
    <w:p w14:paraId="47B60849" w14:textId="77777777" w:rsidR="00E1280F" w:rsidRPr="00E1280F" w:rsidRDefault="00662564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8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Immobilien, blackolive und E &amp; G Real Estate.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267071B" w14:textId="5194F420" w:rsidR="00D56A51" w:rsidRPr="00662564" w:rsidRDefault="00F40B12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1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vermittelte GPP deutschlandweit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640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00 m² Gewerbefläche und betreute ein Transaktionsvolumen in Höhe von rund 2,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Mrd. €.</w:t>
      </w:r>
      <w:r w:rsidR="00662564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br/>
      </w:r>
      <w:bookmarkStart w:id="0" w:name="_GoBack"/>
      <w:bookmarkEnd w:id="0"/>
      <w:r w:rsidR="0049485B">
        <w:rPr>
          <w:rFonts w:ascii="Source Sans Pro" w:hAnsi="Source Sans Pro" w:cs="Source Sans Pro"/>
          <w:color w:val="0087A8"/>
          <w:sz w:val="18"/>
          <w:szCs w:val="18"/>
        </w:rPr>
        <w:lastRenderedPageBreak/>
        <w:br/>
      </w:r>
      <w:hyperlink r:id="rId9" w:history="1">
        <w:r w:rsidR="00D56A51" w:rsidRPr="00F505E8">
          <w:rPr>
            <w:rStyle w:val="Hyperlink"/>
            <w:rFonts w:ascii="Source Sans Pro SemiBold" w:hAnsi="Source Sans Pro SemiBold" w:cs="Source Sans Pro SemiBold"/>
            <w:b/>
            <w:bCs/>
            <w:sz w:val="18"/>
            <w:szCs w:val="18"/>
          </w:rPr>
          <w:t>www.germanpropertypartners.de</w:t>
        </w:r>
      </w:hyperlink>
    </w:p>
    <w:p w14:paraId="1EB42925" w14:textId="77777777" w:rsidR="0049485B" w:rsidRDefault="0049485B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sz w:val="14"/>
          <w:szCs w:val="14"/>
        </w:rPr>
      </w:pPr>
    </w:p>
    <w:p w14:paraId="468FAFF6" w14:textId="707A4BA0" w:rsidR="005C25D5" w:rsidRDefault="00290672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4"/>
          <w:szCs w:val="14"/>
        </w:rPr>
      </w:pPr>
      <w:r w:rsidRPr="00290672">
        <w:rPr>
          <w:rFonts w:ascii="Source Sans Pro SemiBold" w:hAnsi="Source Sans Pro SemiBold" w:cs="Source Sans Pro SemiBold"/>
          <w:bCs/>
          <w:sz w:val="14"/>
          <w:szCs w:val="14"/>
        </w:rPr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="00DA733A"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="00DA733A"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</w:t>
      </w:r>
      <w:hyperlink r:id="rId10" w:history="1">
        <w:r w:rsidR="00DA733A" w:rsidRPr="00525C2E">
          <w:rPr>
            <w:rStyle w:val="Hyperlink"/>
            <w:rFonts w:ascii="Source Sans Pro" w:hAnsi="Source Sans Pro" w:cs="Source Sans Pro"/>
            <w:sz w:val="14"/>
            <w:szCs w:val="14"/>
          </w:rPr>
          <w:t>www.germanpropertypartners.de/datenschutz</w:t>
        </w:r>
      </w:hyperlink>
      <w:r w:rsidR="00DA733A" w:rsidRPr="00917410">
        <w:rPr>
          <w:rFonts w:ascii="Source Sans Pro" w:hAnsi="Source Sans Pro" w:cs="Source Sans Pro"/>
          <w:sz w:val="14"/>
          <w:szCs w:val="14"/>
        </w:rPr>
        <w:t xml:space="preserve">. Wenn Sie künftig keine Informationen der GPP-Pressestelle mehr erhalten möchten, senden Sie bitte eine E-Mail an presse@germanpropertypartners.de mit dem Betreff „Abmeldung aus Presseverteiler“. </w:t>
      </w:r>
    </w:p>
    <w:p w14:paraId="7BEB94CE" w14:textId="77777777" w:rsidR="0049485B" w:rsidRPr="00D56A51" w:rsidRDefault="0049485B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</w:p>
    <w:sectPr w:rsidR="0049485B" w:rsidRPr="00D56A51" w:rsidSect="001B786B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DBE0" w14:textId="77777777" w:rsidR="00E27DEF" w:rsidRDefault="00E27DEF">
      <w:r>
        <w:separator/>
      </w:r>
    </w:p>
  </w:endnote>
  <w:endnote w:type="continuationSeparator" w:id="0">
    <w:p w14:paraId="63E8188B" w14:textId="77777777" w:rsidR="00E27DEF" w:rsidRDefault="00E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altName w:val="Microsoft JhengHei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6F154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6F154A" w:rsidRPr="006456E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450A2C3C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662564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662564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64D43374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9B008F">
      <w:rPr>
        <w:rFonts w:ascii="Source Sans Pro" w:hAnsi="Source Sans Pro" w:cs="Source Sans Pro"/>
        <w:color w:val="0087A8"/>
        <w:sz w:val="18"/>
        <w:szCs w:val="18"/>
      </w:rPr>
      <w:t>T  +49 40 350802</w:t>
    </w:r>
    <w:r w:rsidR="00282ED8">
      <w:rPr>
        <w:rFonts w:ascii="Source Sans Pro" w:hAnsi="Source Sans Pro" w:cs="Source Sans Pro"/>
        <w:color w:val="0087A8"/>
        <w:sz w:val="18"/>
        <w:szCs w:val="18"/>
      </w:rPr>
      <w:t>-</w:t>
    </w:r>
    <w:r w:rsidR="00F40B12">
      <w:rPr>
        <w:rFonts w:ascii="Source Sans Pro" w:hAnsi="Source Sans Pro" w:cs="Source Sans Pro"/>
        <w:color w:val="0087A8"/>
        <w:sz w:val="18"/>
        <w:szCs w:val="18"/>
      </w:rPr>
      <w:t>588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6F9C1B3C" w14:textId="1406C3DE" w:rsidR="00C41C74" w:rsidRPr="005644BE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B12">
      <w:rPr>
        <w:rFonts w:ascii="Source Sans Pro" w:hAnsi="Source Sans Pro" w:cs="Source Sans Pro"/>
        <w:color w:val="0087A8"/>
        <w:sz w:val="18"/>
        <w:szCs w:val="18"/>
      </w:rPr>
      <w:t>Corinna Fühner</w:t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7F56214A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662564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662564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66F57D6E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F40B12">
      <w:rPr>
        <w:rFonts w:ascii="Source Sans Pro" w:hAnsi="Source Sans Pro" w:cs="Source Sans Pro"/>
        <w:color w:val="0087A8"/>
        <w:sz w:val="18"/>
        <w:szCs w:val="18"/>
      </w:rPr>
      <w:t>588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64DE11DF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B12">
      <w:rPr>
        <w:rFonts w:ascii="Source Sans Pro" w:hAnsi="Source Sans Pro" w:cs="Source Sans Pro"/>
        <w:color w:val="0087A8"/>
        <w:sz w:val="18"/>
        <w:szCs w:val="18"/>
      </w:rPr>
      <w:t>Corinna Fühner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1D2D" w14:textId="77777777" w:rsidR="00E27DEF" w:rsidRDefault="00E27DEF">
      <w:r>
        <w:separator/>
      </w:r>
    </w:p>
  </w:footnote>
  <w:footnote w:type="continuationSeparator" w:id="0">
    <w:p w14:paraId="76B94CF8" w14:textId="77777777" w:rsidR="00E27DEF" w:rsidRDefault="00E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0E6577" w:rsidRDefault="000E6577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5"/>
    <w:rsid w:val="00001F24"/>
    <w:rsid w:val="000021F4"/>
    <w:rsid w:val="00004E93"/>
    <w:rsid w:val="000136D7"/>
    <w:rsid w:val="00013C9D"/>
    <w:rsid w:val="00013D73"/>
    <w:rsid w:val="00020AC9"/>
    <w:rsid w:val="00027EA3"/>
    <w:rsid w:val="00032028"/>
    <w:rsid w:val="000440EB"/>
    <w:rsid w:val="0005029E"/>
    <w:rsid w:val="000610DA"/>
    <w:rsid w:val="000663B5"/>
    <w:rsid w:val="00066A8A"/>
    <w:rsid w:val="00072A30"/>
    <w:rsid w:val="00073A63"/>
    <w:rsid w:val="00075C3C"/>
    <w:rsid w:val="00077E8A"/>
    <w:rsid w:val="00082C59"/>
    <w:rsid w:val="000865B9"/>
    <w:rsid w:val="00091562"/>
    <w:rsid w:val="0009382E"/>
    <w:rsid w:val="000A12F9"/>
    <w:rsid w:val="000A4FBB"/>
    <w:rsid w:val="000A6A78"/>
    <w:rsid w:val="000B310B"/>
    <w:rsid w:val="000C3A22"/>
    <w:rsid w:val="000C765F"/>
    <w:rsid w:val="000D5A87"/>
    <w:rsid w:val="000D7B09"/>
    <w:rsid w:val="000D7FD3"/>
    <w:rsid w:val="000E194E"/>
    <w:rsid w:val="000E4F2C"/>
    <w:rsid w:val="000E6577"/>
    <w:rsid w:val="000E694E"/>
    <w:rsid w:val="000F57F1"/>
    <w:rsid w:val="001104E2"/>
    <w:rsid w:val="00110E37"/>
    <w:rsid w:val="0011143B"/>
    <w:rsid w:val="00113D8C"/>
    <w:rsid w:val="00120624"/>
    <w:rsid w:val="001208CE"/>
    <w:rsid w:val="0012156C"/>
    <w:rsid w:val="00131DC5"/>
    <w:rsid w:val="001340F8"/>
    <w:rsid w:val="00143DF8"/>
    <w:rsid w:val="00143FCB"/>
    <w:rsid w:val="00146388"/>
    <w:rsid w:val="00150092"/>
    <w:rsid w:val="001550FE"/>
    <w:rsid w:val="00155828"/>
    <w:rsid w:val="00156AF6"/>
    <w:rsid w:val="00156B89"/>
    <w:rsid w:val="00161817"/>
    <w:rsid w:val="00162CC4"/>
    <w:rsid w:val="001647B3"/>
    <w:rsid w:val="00166ED2"/>
    <w:rsid w:val="00176433"/>
    <w:rsid w:val="0018092C"/>
    <w:rsid w:val="00184BB0"/>
    <w:rsid w:val="001963BB"/>
    <w:rsid w:val="001A22F5"/>
    <w:rsid w:val="001B786B"/>
    <w:rsid w:val="001C0C8F"/>
    <w:rsid w:val="001C32DB"/>
    <w:rsid w:val="001C518B"/>
    <w:rsid w:val="001C6DDD"/>
    <w:rsid w:val="001D0F2C"/>
    <w:rsid w:val="001E1829"/>
    <w:rsid w:val="001E5503"/>
    <w:rsid w:val="001F218D"/>
    <w:rsid w:val="001F35E1"/>
    <w:rsid w:val="00200C83"/>
    <w:rsid w:val="002014F7"/>
    <w:rsid w:val="00202DD3"/>
    <w:rsid w:val="00216C8D"/>
    <w:rsid w:val="00225428"/>
    <w:rsid w:val="0022694F"/>
    <w:rsid w:val="00235393"/>
    <w:rsid w:val="00236619"/>
    <w:rsid w:val="00264A0A"/>
    <w:rsid w:val="00265CA3"/>
    <w:rsid w:val="0028070D"/>
    <w:rsid w:val="00282ED8"/>
    <w:rsid w:val="00290672"/>
    <w:rsid w:val="002A09C2"/>
    <w:rsid w:val="002A1D57"/>
    <w:rsid w:val="002A480D"/>
    <w:rsid w:val="002A7D58"/>
    <w:rsid w:val="002B63FD"/>
    <w:rsid w:val="002B749A"/>
    <w:rsid w:val="002C52C5"/>
    <w:rsid w:val="002D6E58"/>
    <w:rsid w:val="002E1C45"/>
    <w:rsid w:val="002E2673"/>
    <w:rsid w:val="002E5673"/>
    <w:rsid w:val="002F461A"/>
    <w:rsid w:val="002F786B"/>
    <w:rsid w:val="00306932"/>
    <w:rsid w:val="003152C9"/>
    <w:rsid w:val="00315870"/>
    <w:rsid w:val="00316196"/>
    <w:rsid w:val="00322436"/>
    <w:rsid w:val="003250ED"/>
    <w:rsid w:val="00341D84"/>
    <w:rsid w:val="003424EC"/>
    <w:rsid w:val="0034454C"/>
    <w:rsid w:val="00355438"/>
    <w:rsid w:val="00355ED1"/>
    <w:rsid w:val="00361BB2"/>
    <w:rsid w:val="00363075"/>
    <w:rsid w:val="00366AF3"/>
    <w:rsid w:val="00371640"/>
    <w:rsid w:val="00374F87"/>
    <w:rsid w:val="00392E9E"/>
    <w:rsid w:val="003938C9"/>
    <w:rsid w:val="003948FA"/>
    <w:rsid w:val="003A463F"/>
    <w:rsid w:val="003B63A8"/>
    <w:rsid w:val="003D36F0"/>
    <w:rsid w:val="003D5215"/>
    <w:rsid w:val="003D5D91"/>
    <w:rsid w:val="003E772C"/>
    <w:rsid w:val="003F293B"/>
    <w:rsid w:val="003F5E07"/>
    <w:rsid w:val="0040331F"/>
    <w:rsid w:val="00403C95"/>
    <w:rsid w:val="0041188F"/>
    <w:rsid w:val="0042270C"/>
    <w:rsid w:val="00423DAC"/>
    <w:rsid w:val="00425DBF"/>
    <w:rsid w:val="00430DA2"/>
    <w:rsid w:val="004329C6"/>
    <w:rsid w:val="004343B1"/>
    <w:rsid w:val="00434EB9"/>
    <w:rsid w:val="00436DD0"/>
    <w:rsid w:val="00443C1C"/>
    <w:rsid w:val="00453F14"/>
    <w:rsid w:val="00456442"/>
    <w:rsid w:val="00462200"/>
    <w:rsid w:val="00474099"/>
    <w:rsid w:val="00476554"/>
    <w:rsid w:val="0048369D"/>
    <w:rsid w:val="00491CBC"/>
    <w:rsid w:val="0049485B"/>
    <w:rsid w:val="004A2A30"/>
    <w:rsid w:val="004A2D54"/>
    <w:rsid w:val="004A60FB"/>
    <w:rsid w:val="004B5CB6"/>
    <w:rsid w:val="004C10E2"/>
    <w:rsid w:val="004C616B"/>
    <w:rsid w:val="004D2CD0"/>
    <w:rsid w:val="004D30FB"/>
    <w:rsid w:val="004F1EDD"/>
    <w:rsid w:val="004F77D4"/>
    <w:rsid w:val="00500981"/>
    <w:rsid w:val="00501428"/>
    <w:rsid w:val="005045E7"/>
    <w:rsid w:val="00510C33"/>
    <w:rsid w:val="005122A0"/>
    <w:rsid w:val="00525C2E"/>
    <w:rsid w:val="0054038E"/>
    <w:rsid w:val="0054593A"/>
    <w:rsid w:val="00551363"/>
    <w:rsid w:val="00554C9F"/>
    <w:rsid w:val="00557B57"/>
    <w:rsid w:val="005644BE"/>
    <w:rsid w:val="0057524E"/>
    <w:rsid w:val="00575A55"/>
    <w:rsid w:val="005845EB"/>
    <w:rsid w:val="005A5999"/>
    <w:rsid w:val="005B572B"/>
    <w:rsid w:val="005C0436"/>
    <w:rsid w:val="005C25D5"/>
    <w:rsid w:val="005D0D0E"/>
    <w:rsid w:val="005D449F"/>
    <w:rsid w:val="005D73BE"/>
    <w:rsid w:val="005E1C97"/>
    <w:rsid w:val="005E6515"/>
    <w:rsid w:val="005F1F6B"/>
    <w:rsid w:val="005F3B7B"/>
    <w:rsid w:val="00601A24"/>
    <w:rsid w:val="0060257F"/>
    <w:rsid w:val="00604F63"/>
    <w:rsid w:val="00605989"/>
    <w:rsid w:val="00613713"/>
    <w:rsid w:val="006224FB"/>
    <w:rsid w:val="0063115F"/>
    <w:rsid w:val="00632159"/>
    <w:rsid w:val="006363DA"/>
    <w:rsid w:val="006432C0"/>
    <w:rsid w:val="006456EA"/>
    <w:rsid w:val="00653983"/>
    <w:rsid w:val="006609C2"/>
    <w:rsid w:val="00662564"/>
    <w:rsid w:val="0066478F"/>
    <w:rsid w:val="00672037"/>
    <w:rsid w:val="00675E89"/>
    <w:rsid w:val="00695F46"/>
    <w:rsid w:val="006A3C35"/>
    <w:rsid w:val="006A6D11"/>
    <w:rsid w:val="006B2259"/>
    <w:rsid w:val="006B3ECE"/>
    <w:rsid w:val="006C5754"/>
    <w:rsid w:val="006D6526"/>
    <w:rsid w:val="006E06BE"/>
    <w:rsid w:val="006E674D"/>
    <w:rsid w:val="006E6770"/>
    <w:rsid w:val="006F154A"/>
    <w:rsid w:val="006F3DDE"/>
    <w:rsid w:val="00701992"/>
    <w:rsid w:val="0070363C"/>
    <w:rsid w:val="00712023"/>
    <w:rsid w:val="007144E9"/>
    <w:rsid w:val="00714A1F"/>
    <w:rsid w:val="00717328"/>
    <w:rsid w:val="0072073D"/>
    <w:rsid w:val="00742C04"/>
    <w:rsid w:val="0074571D"/>
    <w:rsid w:val="00750A05"/>
    <w:rsid w:val="00767018"/>
    <w:rsid w:val="00771C92"/>
    <w:rsid w:val="00795586"/>
    <w:rsid w:val="00797DA3"/>
    <w:rsid w:val="007A4844"/>
    <w:rsid w:val="007B33CE"/>
    <w:rsid w:val="007B7B81"/>
    <w:rsid w:val="007C1429"/>
    <w:rsid w:val="007C1AEC"/>
    <w:rsid w:val="007C5441"/>
    <w:rsid w:val="007D1495"/>
    <w:rsid w:val="007D5A52"/>
    <w:rsid w:val="007D5CA1"/>
    <w:rsid w:val="007D75C8"/>
    <w:rsid w:val="007E2C66"/>
    <w:rsid w:val="007F1021"/>
    <w:rsid w:val="007F2DBB"/>
    <w:rsid w:val="007F7E7C"/>
    <w:rsid w:val="00821A81"/>
    <w:rsid w:val="00825F63"/>
    <w:rsid w:val="008322D8"/>
    <w:rsid w:val="00837E5B"/>
    <w:rsid w:val="00851067"/>
    <w:rsid w:val="00856A7C"/>
    <w:rsid w:val="008739E7"/>
    <w:rsid w:val="00874645"/>
    <w:rsid w:val="00881685"/>
    <w:rsid w:val="008844D9"/>
    <w:rsid w:val="00891C3A"/>
    <w:rsid w:val="00895E64"/>
    <w:rsid w:val="008A3A3B"/>
    <w:rsid w:val="008A7188"/>
    <w:rsid w:val="008D1590"/>
    <w:rsid w:val="008E0A69"/>
    <w:rsid w:val="008F2058"/>
    <w:rsid w:val="00902138"/>
    <w:rsid w:val="00904B69"/>
    <w:rsid w:val="009064CE"/>
    <w:rsid w:val="00912233"/>
    <w:rsid w:val="00914021"/>
    <w:rsid w:val="00917410"/>
    <w:rsid w:val="009264D0"/>
    <w:rsid w:val="00931F65"/>
    <w:rsid w:val="0093360A"/>
    <w:rsid w:val="009358D3"/>
    <w:rsid w:val="00955433"/>
    <w:rsid w:val="00955764"/>
    <w:rsid w:val="00957A6F"/>
    <w:rsid w:val="009649C2"/>
    <w:rsid w:val="00965DEB"/>
    <w:rsid w:val="00966A04"/>
    <w:rsid w:val="009738DE"/>
    <w:rsid w:val="00980994"/>
    <w:rsid w:val="00980BEB"/>
    <w:rsid w:val="00980D94"/>
    <w:rsid w:val="00982F7B"/>
    <w:rsid w:val="009843D4"/>
    <w:rsid w:val="009867A7"/>
    <w:rsid w:val="0099076D"/>
    <w:rsid w:val="0099690F"/>
    <w:rsid w:val="00996D38"/>
    <w:rsid w:val="009A10C6"/>
    <w:rsid w:val="009A4503"/>
    <w:rsid w:val="009A461B"/>
    <w:rsid w:val="009B008F"/>
    <w:rsid w:val="009B19A3"/>
    <w:rsid w:val="009C2D11"/>
    <w:rsid w:val="009C3FDE"/>
    <w:rsid w:val="009C4CE9"/>
    <w:rsid w:val="009F28F5"/>
    <w:rsid w:val="00A02C80"/>
    <w:rsid w:val="00A07846"/>
    <w:rsid w:val="00A15A25"/>
    <w:rsid w:val="00A174C8"/>
    <w:rsid w:val="00A17CA6"/>
    <w:rsid w:val="00A22C2C"/>
    <w:rsid w:val="00A22FBF"/>
    <w:rsid w:val="00A23994"/>
    <w:rsid w:val="00A346EF"/>
    <w:rsid w:val="00A432CB"/>
    <w:rsid w:val="00A54087"/>
    <w:rsid w:val="00A57024"/>
    <w:rsid w:val="00A61757"/>
    <w:rsid w:val="00A622E9"/>
    <w:rsid w:val="00A63939"/>
    <w:rsid w:val="00A65690"/>
    <w:rsid w:val="00A65FB0"/>
    <w:rsid w:val="00A66A23"/>
    <w:rsid w:val="00A71D20"/>
    <w:rsid w:val="00A743C6"/>
    <w:rsid w:val="00A8148C"/>
    <w:rsid w:val="00A831E7"/>
    <w:rsid w:val="00A85640"/>
    <w:rsid w:val="00A91DC1"/>
    <w:rsid w:val="00A9412B"/>
    <w:rsid w:val="00AB69AD"/>
    <w:rsid w:val="00AB6CD0"/>
    <w:rsid w:val="00AB7800"/>
    <w:rsid w:val="00AC6B15"/>
    <w:rsid w:val="00AD2569"/>
    <w:rsid w:val="00AD4124"/>
    <w:rsid w:val="00AE0761"/>
    <w:rsid w:val="00AE07A3"/>
    <w:rsid w:val="00AE0E7B"/>
    <w:rsid w:val="00AE2412"/>
    <w:rsid w:val="00AE318F"/>
    <w:rsid w:val="00AF0066"/>
    <w:rsid w:val="00AF237D"/>
    <w:rsid w:val="00AF27B7"/>
    <w:rsid w:val="00AF63B5"/>
    <w:rsid w:val="00AF7E7F"/>
    <w:rsid w:val="00B005BD"/>
    <w:rsid w:val="00B03444"/>
    <w:rsid w:val="00B04F23"/>
    <w:rsid w:val="00B11724"/>
    <w:rsid w:val="00B14C16"/>
    <w:rsid w:val="00B14E68"/>
    <w:rsid w:val="00B23669"/>
    <w:rsid w:val="00B24860"/>
    <w:rsid w:val="00B33789"/>
    <w:rsid w:val="00B46BC1"/>
    <w:rsid w:val="00B53D59"/>
    <w:rsid w:val="00B56AFB"/>
    <w:rsid w:val="00B576A5"/>
    <w:rsid w:val="00B66F52"/>
    <w:rsid w:val="00B83E0A"/>
    <w:rsid w:val="00B862DB"/>
    <w:rsid w:val="00B922EE"/>
    <w:rsid w:val="00B9596E"/>
    <w:rsid w:val="00BA2FA0"/>
    <w:rsid w:val="00BA3D8E"/>
    <w:rsid w:val="00BA40B4"/>
    <w:rsid w:val="00BA49EB"/>
    <w:rsid w:val="00BB0BE0"/>
    <w:rsid w:val="00BB0F85"/>
    <w:rsid w:val="00BC0132"/>
    <w:rsid w:val="00BC0598"/>
    <w:rsid w:val="00BD0526"/>
    <w:rsid w:val="00BD2784"/>
    <w:rsid w:val="00BD46B2"/>
    <w:rsid w:val="00BF11C6"/>
    <w:rsid w:val="00BF5E1D"/>
    <w:rsid w:val="00C11004"/>
    <w:rsid w:val="00C111FE"/>
    <w:rsid w:val="00C1497F"/>
    <w:rsid w:val="00C20B9C"/>
    <w:rsid w:val="00C2509E"/>
    <w:rsid w:val="00C2778C"/>
    <w:rsid w:val="00C27F6A"/>
    <w:rsid w:val="00C3159C"/>
    <w:rsid w:val="00C35841"/>
    <w:rsid w:val="00C41C74"/>
    <w:rsid w:val="00C43C76"/>
    <w:rsid w:val="00C47B63"/>
    <w:rsid w:val="00C47F8B"/>
    <w:rsid w:val="00C50567"/>
    <w:rsid w:val="00C53FE9"/>
    <w:rsid w:val="00C7165C"/>
    <w:rsid w:val="00C742DD"/>
    <w:rsid w:val="00C846F6"/>
    <w:rsid w:val="00C96048"/>
    <w:rsid w:val="00C96214"/>
    <w:rsid w:val="00C9797F"/>
    <w:rsid w:val="00CA1FB9"/>
    <w:rsid w:val="00CA73C1"/>
    <w:rsid w:val="00CA79D7"/>
    <w:rsid w:val="00CB7BE6"/>
    <w:rsid w:val="00CC0E23"/>
    <w:rsid w:val="00CC40B9"/>
    <w:rsid w:val="00CD1392"/>
    <w:rsid w:val="00CD7E39"/>
    <w:rsid w:val="00CE2EFB"/>
    <w:rsid w:val="00CE5A10"/>
    <w:rsid w:val="00D02FD8"/>
    <w:rsid w:val="00D10832"/>
    <w:rsid w:val="00D11A3A"/>
    <w:rsid w:val="00D3104C"/>
    <w:rsid w:val="00D40FCC"/>
    <w:rsid w:val="00D42152"/>
    <w:rsid w:val="00D43D89"/>
    <w:rsid w:val="00D50FDD"/>
    <w:rsid w:val="00D513E4"/>
    <w:rsid w:val="00D53B8E"/>
    <w:rsid w:val="00D56A51"/>
    <w:rsid w:val="00D602AC"/>
    <w:rsid w:val="00D64CC4"/>
    <w:rsid w:val="00D70824"/>
    <w:rsid w:val="00D7556F"/>
    <w:rsid w:val="00D75E21"/>
    <w:rsid w:val="00D760A9"/>
    <w:rsid w:val="00D760CF"/>
    <w:rsid w:val="00D925B8"/>
    <w:rsid w:val="00D949D0"/>
    <w:rsid w:val="00DA3B66"/>
    <w:rsid w:val="00DA4453"/>
    <w:rsid w:val="00DA6836"/>
    <w:rsid w:val="00DA733A"/>
    <w:rsid w:val="00DB2417"/>
    <w:rsid w:val="00DC05A3"/>
    <w:rsid w:val="00DC6A0C"/>
    <w:rsid w:val="00E01C7D"/>
    <w:rsid w:val="00E03DB3"/>
    <w:rsid w:val="00E06757"/>
    <w:rsid w:val="00E1280F"/>
    <w:rsid w:val="00E178A3"/>
    <w:rsid w:val="00E17B2C"/>
    <w:rsid w:val="00E233EB"/>
    <w:rsid w:val="00E26EA1"/>
    <w:rsid w:val="00E27DEF"/>
    <w:rsid w:val="00E30081"/>
    <w:rsid w:val="00E32743"/>
    <w:rsid w:val="00E342C7"/>
    <w:rsid w:val="00E354F6"/>
    <w:rsid w:val="00E4317C"/>
    <w:rsid w:val="00E527FB"/>
    <w:rsid w:val="00E53D4C"/>
    <w:rsid w:val="00E609ED"/>
    <w:rsid w:val="00E63703"/>
    <w:rsid w:val="00E64DDC"/>
    <w:rsid w:val="00E704C6"/>
    <w:rsid w:val="00E775AC"/>
    <w:rsid w:val="00E77A47"/>
    <w:rsid w:val="00E77B98"/>
    <w:rsid w:val="00E8471E"/>
    <w:rsid w:val="00E91E8C"/>
    <w:rsid w:val="00E942DA"/>
    <w:rsid w:val="00E94EF3"/>
    <w:rsid w:val="00E959E9"/>
    <w:rsid w:val="00E95E00"/>
    <w:rsid w:val="00E97167"/>
    <w:rsid w:val="00EB1611"/>
    <w:rsid w:val="00EB468A"/>
    <w:rsid w:val="00EC01E6"/>
    <w:rsid w:val="00EC3DC1"/>
    <w:rsid w:val="00EC4845"/>
    <w:rsid w:val="00EC6CC2"/>
    <w:rsid w:val="00ED1C27"/>
    <w:rsid w:val="00ED5CDF"/>
    <w:rsid w:val="00ED6DCA"/>
    <w:rsid w:val="00EE60C7"/>
    <w:rsid w:val="00EF0944"/>
    <w:rsid w:val="00EF1AB1"/>
    <w:rsid w:val="00EF7BE7"/>
    <w:rsid w:val="00F05141"/>
    <w:rsid w:val="00F07267"/>
    <w:rsid w:val="00F167CB"/>
    <w:rsid w:val="00F16AA1"/>
    <w:rsid w:val="00F2164E"/>
    <w:rsid w:val="00F22F9A"/>
    <w:rsid w:val="00F240EB"/>
    <w:rsid w:val="00F315FE"/>
    <w:rsid w:val="00F31FE6"/>
    <w:rsid w:val="00F40B12"/>
    <w:rsid w:val="00F45BB8"/>
    <w:rsid w:val="00F53F80"/>
    <w:rsid w:val="00F5697E"/>
    <w:rsid w:val="00F673A2"/>
    <w:rsid w:val="00F71A10"/>
    <w:rsid w:val="00F72A3E"/>
    <w:rsid w:val="00F74B67"/>
    <w:rsid w:val="00F7577B"/>
    <w:rsid w:val="00F900AB"/>
    <w:rsid w:val="00F91726"/>
    <w:rsid w:val="00FB3B53"/>
    <w:rsid w:val="00FB551B"/>
    <w:rsid w:val="00FB563F"/>
    <w:rsid w:val="00FC69D9"/>
    <w:rsid w:val="00FD0B89"/>
    <w:rsid w:val="00FD28C1"/>
    <w:rsid w:val="00FD7412"/>
    <w:rsid w:val="00FF1703"/>
    <w:rsid w:val="00FF1EF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1817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1817"/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1402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052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52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52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propertypartners.de/d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ermanpropertypartners.de/datenschu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82F5A-E8B2-4937-BCEE-BE1D0ECA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Keller, Yvonne</dc:creator>
  <cp:keywords/>
  <cp:lastModifiedBy>Corinna Fühner</cp:lastModifiedBy>
  <cp:revision>90</cp:revision>
  <cp:lastPrinted>2022-03-30T15:12:00Z</cp:lastPrinted>
  <dcterms:created xsi:type="dcterms:W3CDTF">2022-01-11T08:02:00Z</dcterms:created>
  <dcterms:modified xsi:type="dcterms:W3CDTF">2022-06-30T14:52:00Z</dcterms:modified>
</cp:coreProperties>
</file>