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29FDAE59" w:rsidR="00CA79D7" w:rsidRPr="006456EA" w:rsidRDefault="001550FE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Q3/2021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1BF0A270" w:rsidR="00CA79D7" w:rsidRDefault="00033F7F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Zunehmend Gaspedal</w:t>
      </w:r>
      <w:r w:rsidR="006F3F00">
        <w:rPr>
          <w:rFonts w:ascii="Source Sans Pro" w:hAnsi="Source Sans Pro" w:cs="Source Sans Pro"/>
          <w:sz w:val="36"/>
          <w:szCs w:val="36"/>
        </w:rPr>
        <w:t xml:space="preserve"> statt Bremse</w:t>
      </w:r>
      <w:r w:rsidR="00CA79D7">
        <w:rPr>
          <w:rFonts w:ascii="Source Sans Pro" w:hAnsi="Source Sans Pro" w:cs="Source Sans Pro"/>
          <w:sz w:val="36"/>
          <w:szCs w:val="36"/>
        </w:rPr>
        <w:t xml:space="preserve"> 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085AEDE8" w:rsidR="00CA79D7" w:rsidRPr="00CA79D7" w:rsidRDefault="00483578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23659135" wp14:editId="19B08095">
            <wp:extent cx="4416250" cy="2537489"/>
            <wp:effectExtent l="19050" t="19050" r="22860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_Top7_2021Q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917" cy="256028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5270966B" w14:textId="46F37CF1" w:rsidR="007D5A52" w:rsidRDefault="008D24F1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5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1550FE">
        <w:rPr>
          <w:rFonts w:ascii="Source Sans Pro" w:hAnsi="Source Sans Pro" w:cs="Source Sans Pro"/>
          <w:color w:val="0087A8"/>
          <w:sz w:val="22"/>
          <w:szCs w:val="22"/>
        </w:rPr>
        <w:t>Oktober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 2021,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7F02A1">
        <w:rPr>
          <w:rFonts w:ascii="Source Sans Pro" w:hAnsi="Source Sans Pro" w:cs="Source Sans Pro"/>
          <w:sz w:val="22"/>
          <w:szCs w:val="22"/>
        </w:rPr>
        <w:t xml:space="preserve">2021 </w:t>
      </w:r>
      <w:r w:rsidR="006B5252">
        <w:rPr>
          <w:rFonts w:ascii="Source Sans Pro" w:hAnsi="Source Sans Pro" w:cs="Source Sans Pro"/>
          <w:sz w:val="22"/>
          <w:szCs w:val="22"/>
        </w:rPr>
        <w:t xml:space="preserve">waren die Unternehmen an den deutschen Top-7-Bürostandorten </w:t>
      </w:r>
      <w:r w:rsidR="007F02A1">
        <w:rPr>
          <w:rFonts w:ascii="Source Sans Pro" w:hAnsi="Source Sans Pro" w:cs="Source Sans Pro"/>
          <w:sz w:val="22"/>
          <w:szCs w:val="22"/>
        </w:rPr>
        <w:t xml:space="preserve">im 3. Quartal </w:t>
      </w:r>
      <w:r w:rsidR="006B5252">
        <w:rPr>
          <w:rFonts w:ascii="Source Sans Pro" w:hAnsi="Source Sans Pro" w:cs="Source Sans Pro"/>
          <w:sz w:val="22"/>
          <w:szCs w:val="22"/>
        </w:rPr>
        <w:t>am abschlussfreudigsten</w:t>
      </w:r>
      <w:r w:rsidR="008113A7">
        <w:rPr>
          <w:rFonts w:ascii="Source Sans Pro" w:hAnsi="Source Sans Pro" w:cs="Source Sans Pro"/>
          <w:sz w:val="22"/>
          <w:szCs w:val="22"/>
        </w:rPr>
        <w:t xml:space="preserve"> und kamen mit</w:t>
      </w:r>
      <w:r w:rsidR="006B5252">
        <w:rPr>
          <w:rFonts w:ascii="Source Sans Pro" w:hAnsi="Source Sans Pro" w:cs="Source Sans Pro"/>
          <w:sz w:val="22"/>
          <w:szCs w:val="22"/>
        </w:rPr>
        <w:t xml:space="preserve"> </w:t>
      </w:r>
      <w:r w:rsidR="000D6F2E">
        <w:rPr>
          <w:rFonts w:ascii="Source Sans Pro" w:hAnsi="Source Sans Pro" w:cs="Source Sans Pro"/>
          <w:sz w:val="22"/>
          <w:szCs w:val="22"/>
        </w:rPr>
        <w:t>unterschrieben</w:t>
      </w:r>
      <w:r w:rsidR="008113A7">
        <w:rPr>
          <w:rFonts w:ascii="Source Sans Pro" w:hAnsi="Source Sans Pro" w:cs="Source Sans Pro"/>
          <w:sz w:val="22"/>
          <w:szCs w:val="22"/>
        </w:rPr>
        <w:t>en</w:t>
      </w:r>
      <w:r w:rsidR="000D6F2E">
        <w:rPr>
          <w:rFonts w:ascii="Source Sans Pro" w:hAnsi="Source Sans Pro" w:cs="Source Sans Pro"/>
          <w:sz w:val="22"/>
          <w:szCs w:val="22"/>
        </w:rPr>
        <w:t xml:space="preserve"> </w:t>
      </w:r>
      <w:r w:rsidR="006B5252">
        <w:rPr>
          <w:rFonts w:ascii="Source Sans Pro" w:hAnsi="Source Sans Pro" w:cs="Source Sans Pro"/>
          <w:sz w:val="22"/>
          <w:szCs w:val="22"/>
        </w:rPr>
        <w:t>Miet</w:t>
      </w:r>
      <w:r w:rsidR="00A95739">
        <w:rPr>
          <w:rFonts w:ascii="Source Sans Pro" w:hAnsi="Source Sans Pro" w:cs="Source Sans Pro"/>
          <w:sz w:val="22"/>
          <w:szCs w:val="22"/>
        </w:rPr>
        <w:t>verträge</w:t>
      </w:r>
      <w:r w:rsidR="008113A7">
        <w:rPr>
          <w:rFonts w:ascii="Source Sans Pro" w:hAnsi="Source Sans Pro" w:cs="Source Sans Pro"/>
          <w:sz w:val="22"/>
          <w:szCs w:val="22"/>
        </w:rPr>
        <w:t>n</w:t>
      </w:r>
      <w:r w:rsidR="000D6F2E">
        <w:rPr>
          <w:rFonts w:ascii="Source Sans Pro" w:hAnsi="Source Sans Pro" w:cs="Source Sans Pro"/>
          <w:sz w:val="22"/>
          <w:szCs w:val="22"/>
        </w:rPr>
        <w:t xml:space="preserve"> und Eigennutzer-</w:t>
      </w:r>
      <w:r w:rsidR="008113A7">
        <w:rPr>
          <w:rFonts w:ascii="Source Sans Pro" w:hAnsi="Source Sans Pro" w:cs="Source Sans Pro"/>
          <w:sz w:val="22"/>
          <w:szCs w:val="22"/>
        </w:rPr>
        <w:t>Baustarts</w:t>
      </w:r>
      <w:r w:rsidR="006B5252">
        <w:rPr>
          <w:rFonts w:ascii="Source Sans Pro" w:hAnsi="Source Sans Pro" w:cs="Source Sans Pro"/>
          <w:sz w:val="22"/>
          <w:szCs w:val="22"/>
        </w:rPr>
        <w:t xml:space="preserve"> </w:t>
      </w:r>
      <w:r w:rsidR="008113A7">
        <w:rPr>
          <w:rFonts w:ascii="Source Sans Pro" w:hAnsi="Source Sans Pro" w:cs="Source Sans Pro"/>
          <w:sz w:val="22"/>
          <w:szCs w:val="22"/>
        </w:rPr>
        <w:t xml:space="preserve">auf ein </w:t>
      </w:r>
      <w:r w:rsidR="008D6B2E">
        <w:rPr>
          <w:rFonts w:ascii="Source Sans Pro" w:hAnsi="Source Sans Pro" w:cs="Source Sans Pro"/>
          <w:sz w:val="22"/>
          <w:szCs w:val="22"/>
        </w:rPr>
        <w:t>Volumen von</w:t>
      </w:r>
      <w:r w:rsidR="000D6F2E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824.600 m²</w:t>
      </w:r>
      <w:r w:rsidR="006B5252">
        <w:rPr>
          <w:rFonts w:ascii="Source Sans Pro" w:hAnsi="Source Sans Pro" w:cs="Source Sans Pro"/>
          <w:sz w:val="22"/>
          <w:szCs w:val="22"/>
        </w:rPr>
        <w:t>.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8113A7">
        <w:rPr>
          <w:rFonts w:ascii="Source Sans Pro" w:hAnsi="Source Sans Pro" w:cs="Source Sans Pro"/>
          <w:sz w:val="22"/>
          <w:szCs w:val="22"/>
        </w:rPr>
        <w:t xml:space="preserve">Für alle drei Quartale </w:t>
      </w:r>
      <w:r w:rsidR="000D6F2E">
        <w:rPr>
          <w:rFonts w:ascii="Source Sans Pro" w:hAnsi="Source Sans Pro" w:cs="Source Sans Pro"/>
          <w:sz w:val="22"/>
          <w:szCs w:val="22"/>
        </w:rPr>
        <w:t xml:space="preserve">belief sich der </w:t>
      </w:r>
      <w:r w:rsidR="007F02A1">
        <w:rPr>
          <w:rFonts w:ascii="Source Sans Pro" w:hAnsi="Source Sans Pro" w:cs="Source Sans Pro"/>
          <w:sz w:val="22"/>
          <w:szCs w:val="22"/>
        </w:rPr>
        <w:t>Bürof</w:t>
      </w:r>
      <w:r w:rsidR="000D6F2E">
        <w:rPr>
          <w:rFonts w:ascii="Source Sans Pro" w:hAnsi="Source Sans Pro" w:cs="Source Sans Pro"/>
          <w:sz w:val="22"/>
          <w:szCs w:val="22"/>
        </w:rPr>
        <w:t>lächenumsatz</w:t>
      </w:r>
      <w:r w:rsidR="00977A0F">
        <w:rPr>
          <w:rFonts w:ascii="Source Sans Pro" w:hAnsi="Source Sans Pro" w:cs="Source Sans Pro"/>
          <w:sz w:val="22"/>
          <w:szCs w:val="22"/>
        </w:rPr>
        <w:t xml:space="preserve"> in Hamburg, Berlin, Düsseldorf, Köln, Frankfurt, Stuttgart und München</w:t>
      </w:r>
      <w:r w:rsidR="008113A7" w:rsidRPr="008113A7">
        <w:rPr>
          <w:rFonts w:ascii="Source Sans Pro" w:hAnsi="Source Sans Pro" w:cs="Source Sans Pro"/>
          <w:sz w:val="22"/>
          <w:szCs w:val="22"/>
        </w:rPr>
        <w:t xml:space="preserve"> </w:t>
      </w:r>
      <w:r w:rsidR="008113A7">
        <w:rPr>
          <w:rFonts w:ascii="Source Sans Pro" w:hAnsi="Source Sans Pro" w:cs="Source Sans Pro"/>
          <w:sz w:val="22"/>
          <w:szCs w:val="22"/>
        </w:rPr>
        <w:t>auf insgesamt 2,04 Mio. m²</w:t>
      </w:r>
      <w:r>
        <w:rPr>
          <w:rFonts w:ascii="Source Sans Pro" w:hAnsi="Source Sans Pro" w:cs="Source Sans Pro"/>
          <w:sz w:val="22"/>
          <w:szCs w:val="22"/>
        </w:rPr>
        <w:t>.</w:t>
      </w:r>
      <w:r w:rsidR="00BA6227">
        <w:rPr>
          <w:rFonts w:ascii="Source Sans Pro" w:hAnsi="Source Sans Pro" w:cs="Source Sans Pro"/>
          <w:sz w:val="22"/>
          <w:szCs w:val="22"/>
        </w:rPr>
        <w:t xml:space="preserve"> </w:t>
      </w:r>
      <w:r w:rsidR="000D6F2E">
        <w:rPr>
          <w:rFonts w:ascii="Source Sans Pro" w:hAnsi="Source Sans Pro" w:cs="Source Sans Pro"/>
          <w:sz w:val="22"/>
          <w:szCs w:val="22"/>
        </w:rPr>
        <w:t xml:space="preserve">Mit einem Plus von 17 % im </w:t>
      </w:r>
      <w:r w:rsidR="006D7E9F">
        <w:rPr>
          <w:rFonts w:ascii="Source Sans Pro" w:hAnsi="Source Sans Pro" w:cs="Source Sans Pro"/>
          <w:sz w:val="22"/>
          <w:szCs w:val="22"/>
        </w:rPr>
        <w:t xml:space="preserve">Vergleich zum Vorjahreszeitraum </w:t>
      </w:r>
      <w:r w:rsidR="00392C51">
        <w:rPr>
          <w:rFonts w:ascii="Source Sans Pro" w:hAnsi="Source Sans Pro" w:cs="Source Sans Pro"/>
          <w:sz w:val="22"/>
          <w:szCs w:val="22"/>
        </w:rPr>
        <w:t xml:space="preserve">übersprang </w:t>
      </w:r>
      <w:r w:rsidR="000D6F2E">
        <w:rPr>
          <w:rFonts w:ascii="Source Sans Pro" w:hAnsi="Source Sans Pro" w:cs="Source Sans Pro"/>
          <w:sz w:val="22"/>
          <w:szCs w:val="22"/>
        </w:rPr>
        <w:t xml:space="preserve">er </w:t>
      </w:r>
      <w:r w:rsidR="00392C51">
        <w:rPr>
          <w:rFonts w:ascii="Source Sans Pro" w:hAnsi="Source Sans Pro" w:cs="Source Sans Pro"/>
          <w:sz w:val="22"/>
          <w:szCs w:val="22"/>
        </w:rPr>
        <w:t xml:space="preserve">die </w:t>
      </w:r>
      <w:r w:rsidR="008D6B2E">
        <w:rPr>
          <w:rFonts w:ascii="Source Sans Pro" w:hAnsi="Source Sans Pro" w:cs="Source Sans Pro"/>
          <w:sz w:val="22"/>
          <w:szCs w:val="22"/>
        </w:rPr>
        <w:t>Zwei</w:t>
      </w:r>
      <w:r w:rsidR="001E6935">
        <w:rPr>
          <w:rFonts w:ascii="Source Sans Pro" w:hAnsi="Source Sans Pro" w:cs="Source Sans Pro"/>
          <w:sz w:val="22"/>
          <w:szCs w:val="22"/>
        </w:rPr>
        <w:t>-</w:t>
      </w:r>
      <w:r w:rsidR="008D6B2E">
        <w:rPr>
          <w:rFonts w:ascii="Source Sans Pro" w:hAnsi="Source Sans Pro" w:cs="Source Sans Pro"/>
          <w:sz w:val="22"/>
          <w:szCs w:val="22"/>
        </w:rPr>
        <w:t>Millionen</w:t>
      </w:r>
      <w:r w:rsidR="001E6935">
        <w:rPr>
          <w:rFonts w:ascii="Source Sans Pro" w:hAnsi="Source Sans Pro" w:cs="Source Sans Pro"/>
          <w:sz w:val="22"/>
          <w:szCs w:val="22"/>
        </w:rPr>
        <w:t>-</w:t>
      </w:r>
      <w:r w:rsidR="008D6B2E">
        <w:rPr>
          <w:rFonts w:ascii="Source Sans Pro" w:hAnsi="Source Sans Pro" w:cs="Source Sans Pro"/>
          <w:sz w:val="22"/>
          <w:szCs w:val="22"/>
        </w:rPr>
        <w:t>Quadratmeter</w:t>
      </w:r>
      <w:r w:rsidR="007F02A1">
        <w:rPr>
          <w:rFonts w:ascii="Source Sans Pro" w:hAnsi="Source Sans Pro" w:cs="Source Sans Pro"/>
          <w:sz w:val="22"/>
          <w:szCs w:val="22"/>
        </w:rPr>
        <w:t>-Schwelle</w:t>
      </w:r>
      <w:r w:rsidR="00CF6D99">
        <w:rPr>
          <w:rFonts w:ascii="Source Sans Pro" w:hAnsi="Source Sans Pro" w:cs="Source Sans Pro"/>
          <w:sz w:val="22"/>
          <w:szCs w:val="22"/>
        </w:rPr>
        <w:t>.</w:t>
      </w:r>
      <w:r w:rsidR="00BA6227">
        <w:rPr>
          <w:rFonts w:ascii="Source Sans Pro" w:hAnsi="Source Sans Pro" w:cs="Source Sans Pro"/>
          <w:sz w:val="22"/>
          <w:szCs w:val="22"/>
        </w:rPr>
        <w:t xml:space="preserve"> </w:t>
      </w:r>
      <w:r w:rsidR="000D6F2E" w:rsidRPr="000D6F2E">
        <w:rPr>
          <w:rFonts w:ascii="Source Sans Pro" w:hAnsi="Source Sans Pro" w:cs="Source Sans Pro"/>
          <w:i/>
          <w:sz w:val="22"/>
          <w:szCs w:val="22"/>
        </w:rPr>
        <w:t>„</w:t>
      </w:r>
      <w:r w:rsidR="009A53E2">
        <w:rPr>
          <w:rFonts w:ascii="Source Sans Pro" w:hAnsi="Source Sans Pro" w:cs="Source Sans Pro"/>
          <w:i/>
          <w:sz w:val="22"/>
          <w:szCs w:val="22"/>
        </w:rPr>
        <w:t>Das Ergebnis bis heute sowie die zu erwartende zunehmende Dynamik im vierten Quartal lässt Spielraum für Hoffnungen, dass der Jahresgesamtumsatz im Großen und Ganzen zufriedenstellend wird</w:t>
      </w:r>
      <w:r w:rsidR="000D6F2E" w:rsidRPr="000D6F2E">
        <w:rPr>
          <w:rFonts w:ascii="Source Sans Pro" w:hAnsi="Source Sans Pro" w:cs="Source Sans Pro"/>
          <w:i/>
          <w:sz w:val="22"/>
          <w:szCs w:val="22"/>
        </w:rPr>
        <w:t>“,</w:t>
      </w:r>
      <w:r w:rsidR="000D6F2E">
        <w:rPr>
          <w:rFonts w:ascii="Source Sans Pro" w:hAnsi="Source Sans Pro" w:cs="Source Sans Pro"/>
          <w:sz w:val="22"/>
          <w:szCs w:val="22"/>
        </w:rPr>
        <w:t xml:space="preserve"> </w:t>
      </w:r>
      <w:r w:rsidR="006D7E9F">
        <w:rPr>
          <w:rFonts w:ascii="Source Sans Pro" w:hAnsi="Source Sans Pro" w:cs="Source Sans Pro"/>
          <w:sz w:val="22"/>
          <w:szCs w:val="22"/>
        </w:rPr>
        <w:t>fasst</w:t>
      </w:r>
      <w:r w:rsidR="000D6F2E">
        <w:rPr>
          <w:rFonts w:ascii="Source Sans Pro" w:hAnsi="Source Sans Pro" w:cs="Source Sans Pro"/>
          <w:sz w:val="22"/>
          <w:szCs w:val="22"/>
        </w:rPr>
        <w:t xml:space="preserve"> </w:t>
      </w:r>
      <w:r w:rsidR="000D6F2E" w:rsidRPr="000D6F2E">
        <w:rPr>
          <w:rFonts w:ascii="Source Sans Pro" w:hAnsi="Source Sans Pro" w:cs="Source Sans Pro"/>
          <w:b/>
          <w:sz w:val="22"/>
          <w:szCs w:val="22"/>
        </w:rPr>
        <w:t>Oliver Schön</w:t>
      </w:r>
      <w:r w:rsidR="000D6F2E">
        <w:rPr>
          <w:rFonts w:ascii="Source Sans Pro" w:hAnsi="Source Sans Pro" w:cs="Source Sans Pro"/>
          <w:sz w:val="22"/>
          <w:szCs w:val="22"/>
        </w:rPr>
        <w:t>, Sprecher von German P</w:t>
      </w:r>
      <w:r w:rsidR="008D6B2E">
        <w:rPr>
          <w:rFonts w:ascii="Source Sans Pro" w:hAnsi="Source Sans Pro" w:cs="Source Sans Pro"/>
          <w:sz w:val="22"/>
          <w:szCs w:val="22"/>
        </w:rPr>
        <w:t>roperty Partners (GPP)</w:t>
      </w:r>
      <w:r w:rsidR="00223AD5">
        <w:rPr>
          <w:rFonts w:ascii="Source Sans Pro" w:hAnsi="Source Sans Pro" w:cs="Source Sans Pro"/>
          <w:sz w:val="22"/>
          <w:szCs w:val="22"/>
        </w:rPr>
        <w:t>, die Lage an den Top-7-Standorten</w:t>
      </w:r>
      <w:r w:rsidR="006D7E9F">
        <w:rPr>
          <w:rFonts w:ascii="Source Sans Pro" w:hAnsi="Source Sans Pro" w:cs="Source Sans Pro"/>
          <w:sz w:val="22"/>
          <w:szCs w:val="22"/>
        </w:rPr>
        <w:t xml:space="preserve"> zusammen</w:t>
      </w:r>
      <w:r w:rsidR="000D6F2E">
        <w:rPr>
          <w:rFonts w:ascii="Source Sans Pro" w:hAnsi="Source Sans Pro" w:cs="Source Sans Pro"/>
          <w:sz w:val="22"/>
          <w:szCs w:val="22"/>
        </w:rPr>
        <w:t xml:space="preserve">. </w:t>
      </w:r>
      <w:r w:rsidR="00223AD5">
        <w:rPr>
          <w:rFonts w:ascii="Source Sans Pro" w:hAnsi="Source Sans Pro" w:cs="Source Sans Pro"/>
          <w:sz w:val="22"/>
          <w:szCs w:val="22"/>
        </w:rPr>
        <w:t>Partner des</w:t>
      </w:r>
      <w:r w:rsidR="00977A0F">
        <w:rPr>
          <w:rFonts w:ascii="Source Sans Pro" w:hAnsi="Source Sans Pro" w:cs="Source Sans Pro"/>
          <w:sz w:val="22"/>
          <w:szCs w:val="22"/>
        </w:rPr>
        <w:t xml:space="preserve"> Gewerbeimmobilien-Netzwerk</w:t>
      </w:r>
      <w:r w:rsidR="00223AD5">
        <w:rPr>
          <w:rFonts w:ascii="Source Sans Pro" w:hAnsi="Source Sans Pro" w:cs="Source Sans Pro"/>
          <w:sz w:val="22"/>
          <w:szCs w:val="22"/>
        </w:rPr>
        <w:t>es sind</w:t>
      </w:r>
      <w:r w:rsidR="00977A0F">
        <w:rPr>
          <w:rFonts w:ascii="Source Sans Pro" w:hAnsi="Source Sans Pro" w:cs="Source Sans Pro"/>
          <w:sz w:val="22"/>
          <w:szCs w:val="22"/>
        </w:rPr>
        <w:t xml:space="preserve"> </w:t>
      </w:r>
      <w:r w:rsidR="00977A0F" w:rsidRPr="00977A0F">
        <w:rPr>
          <w:rFonts w:ascii="Source Sans Pro" w:hAnsi="Source Sans Pro" w:cs="Source Sans Pro"/>
          <w:sz w:val="22"/>
          <w:szCs w:val="22"/>
        </w:rPr>
        <w:t xml:space="preserve">Grossmann &amp; Berger, </w:t>
      </w:r>
      <w:proofErr w:type="spellStart"/>
      <w:r w:rsidR="00977A0F" w:rsidRPr="00977A0F">
        <w:rPr>
          <w:rFonts w:ascii="Source Sans Pro" w:hAnsi="Source Sans Pro" w:cs="Source Sans Pro"/>
          <w:sz w:val="22"/>
          <w:szCs w:val="22"/>
        </w:rPr>
        <w:t>Anteon</w:t>
      </w:r>
      <w:proofErr w:type="spellEnd"/>
      <w:r w:rsidR="00977A0F" w:rsidRPr="00977A0F">
        <w:rPr>
          <w:rFonts w:ascii="Source Sans Pro" w:hAnsi="Source Sans Pro" w:cs="Source Sans Pro"/>
          <w:sz w:val="22"/>
          <w:szCs w:val="22"/>
        </w:rPr>
        <w:t xml:space="preserve"> Immobilien, GREIF &amp; CONTZEN Immobilien, </w:t>
      </w:r>
      <w:proofErr w:type="spellStart"/>
      <w:r w:rsidR="00977A0F" w:rsidRPr="00977A0F">
        <w:rPr>
          <w:rFonts w:ascii="Source Sans Pro" w:hAnsi="Source Sans Pro" w:cs="Source Sans Pro"/>
          <w:sz w:val="22"/>
          <w:szCs w:val="22"/>
        </w:rPr>
        <w:t>blackolive</w:t>
      </w:r>
      <w:proofErr w:type="spellEnd"/>
      <w:r w:rsidR="00977A0F" w:rsidRPr="00977A0F">
        <w:rPr>
          <w:rFonts w:ascii="Source Sans Pro" w:hAnsi="Source Sans Pro" w:cs="Source Sans Pro"/>
          <w:sz w:val="22"/>
          <w:szCs w:val="22"/>
        </w:rPr>
        <w:t xml:space="preserve"> und E &amp; G Real Estate</w:t>
      </w:r>
      <w:r w:rsidR="00977A0F">
        <w:rPr>
          <w:rFonts w:ascii="Source Sans Pro" w:hAnsi="Source Sans Pro" w:cs="Source Sans Pro"/>
          <w:sz w:val="22"/>
          <w:szCs w:val="22"/>
        </w:rPr>
        <w:t>.</w:t>
      </w:r>
    </w:p>
    <w:p w14:paraId="444769DA" w14:textId="77777777" w:rsidR="007D5A52" w:rsidRDefault="007D5A5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27199E4B" w:rsidR="007D5A52" w:rsidRPr="006456EA" w:rsidRDefault="001116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nachfrage </w:t>
      </w:r>
      <w:r w:rsidR="00DD3BDB">
        <w:rPr>
          <w:rFonts w:ascii="Source Sans Pro" w:hAnsi="Source Sans Pro" w:cs="Source Sans Pro"/>
          <w:caps/>
          <w:color w:val="0086A8"/>
          <w:sz w:val="22"/>
          <w:szCs w:val="22"/>
        </w:rPr>
        <w:t>an allen standorten</w:t>
      </w:r>
      <w:r w:rsidR="007D5A52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08D5A27E" w14:textId="3D7BB760" w:rsidR="00DC0951" w:rsidRDefault="00DC095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Die </w:t>
      </w:r>
      <w:r w:rsidR="00024032">
        <w:rPr>
          <w:rFonts w:ascii="Source Sans Pro" w:hAnsi="Source Sans Pro" w:cs="Source Sans Pro"/>
          <w:sz w:val="22"/>
          <w:szCs w:val="22"/>
        </w:rPr>
        <w:t>Spannweite</w:t>
      </w:r>
      <w:r>
        <w:rPr>
          <w:rFonts w:ascii="Source Sans Pro" w:hAnsi="Source Sans Pro" w:cs="Source Sans Pro"/>
          <w:sz w:val="22"/>
          <w:szCs w:val="22"/>
        </w:rPr>
        <w:t xml:space="preserve"> bei der Entwicklung der </w:t>
      </w:r>
      <w:r w:rsidR="00DC7EB8">
        <w:rPr>
          <w:rFonts w:ascii="Source Sans Pro" w:hAnsi="Source Sans Pro" w:cs="Source Sans Pro"/>
          <w:sz w:val="22"/>
          <w:szCs w:val="22"/>
        </w:rPr>
        <w:t>Top-7-</w:t>
      </w:r>
      <w:r>
        <w:rPr>
          <w:rFonts w:ascii="Source Sans Pro" w:hAnsi="Source Sans Pro" w:cs="Source Sans Pro"/>
          <w:sz w:val="22"/>
          <w:szCs w:val="22"/>
        </w:rPr>
        <w:t xml:space="preserve">Flächenumsätze </w:t>
      </w:r>
      <w:r w:rsidR="00A2086A">
        <w:rPr>
          <w:rFonts w:ascii="Source Sans Pro" w:hAnsi="Source Sans Pro" w:cs="Source Sans Pro"/>
          <w:sz w:val="22"/>
          <w:szCs w:val="22"/>
        </w:rPr>
        <w:t>verringerte sich</w:t>
      </w:r>
      <w:r>
        <w:rPr>
          <w:rFonts w:ascii="Source Sans Pro" w:hAnsi="Source Sans Pro" w:cs="Source Sans Pro"/>
          <w:sz w:val="22"/>
          <w:szCs w:val="22"/>
        </w:rPr>
        <w:t xml:space="preserve"> im Vergleich </w:t>
      </w:r>
      <w:r w:rsidR="00D92C1C">
        <w:rPr>
          <w:rFonts w:ascii="Source Sans Pro" w:hAnsi="Source Sans Pro" w:cs="Source Sans Pro"/>
          <w:sz w:val="22"/>
          <w:szCs w:val="22"/>
        </w:rPr>
        <w:t>zum</w:t>
      </w:r>
      <w:r>
        <w:rPr>
          <w:rFonts w:ascii="Source Sans Pro" w:hAnsi="Source Sans Pro" w:cs="Source Sans Pro"/>
          <w:sz w:val="22"/>
          <w:szCs w:val="22"/>
        </w:rPr>
        <w:t xml:space="preserve"> Vorquartal von -35</w:t>
      </w:r>
      <w:r w:rsidR="0014498B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% bis +52</w:t>
      </w:r>
      <w:r w:rsidR="0014498B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 xml:space="preserve">% auf </w:t>
      </w:r>
      <w:r w:rsidR="0014498B">
        <w:rPr>
          <w:rFonts w:ascii="Source Sans Pro" w:hAnsi="Source Sans Pro" w:cs="Source Sans Pro"/>
          <w:sz w:val="22"/>
          <w:szCs w:val="22"/>
        </w:rPr>
        <w:t xml:space="preserve">nun </w:t>
      </w:r>
      <w:r>
        <w:rPr>
          <w:rFonts w:ascii="Source Sans Pro" w:hAnsi="Source Sans Pro" w:cs="Source Sans Pro"/>
          <w:sz w:val="22"/>
          <w:szCs w:val="22"/>
        </w:rPr>
        <w:t>-12</w:t>
      </w:r>
      <w:r w:rsidR="0014498B">
        <w:rPr>
          <w:rFonts w:ascii="Source Sans Pro" w:hAnsi="Source Sans Pro" w:cs="Source Sans Pro"/>
          <w:sz w:val="22"/>
          <w:szCs w:val="22"/>
        </w:rPr>
        <w:t xml:space="preserve"> </w:t>
      </w:r>
      <w:r>
        <w:rPr>
          <w:rFonts w:ascii="Source Sans Pro" w:hAnsi="Source Sans Pro" w:cs="Source Sans Pro"/>
          <w:sz w:val="22"/>
          <w:szCs w:val="22"/>
        </w:rPr>
        <w:t>% bis +45 %</w:t>
      </w:r>
      <w:r w:rsidR="0014498B">
        <w:rPr>
          <w:rFonts w:ascii="Source Sans Pro" w:hAnsi="Source Sans Pro" w:cs="Source Sans Pro"/>
          <w:sz w:val="22"/>
          <w:szCs w:val="22"/>
        </w:rPr>
        <w:t xml:space="preserve">. </w:t>
      </w:r>
      <w:r>
        <w:rPr>
          <w:rFonts w:ascii="Source Sans Pro" w:hAnsi="Source Sans Pro" w:cs="Source Sans Pro"/>
          <w:sz w:val="22"/>
          <w:szCs w:val="22"/>
        </w:rPr>
        <w:t>Genau wie im 2. Quartal legten die Ergebnisse in Köln, Hamburg, Frankfurt und Berlin zu, in München, Düsseldorf und Stuttgart gingen</w:t>
      </w:r>
      <w:r w:rsidR="000513D0">
        <w:rPr>
          <w:rFonts w:ascii="Source Sans Pro" w:hAnsi="Source Sans Pro" w:cs="Source Sans Pro"/>
          <w:sz w:val="22"/>
          <w:szCs w:val="22"/>
        </w:rPr>
        <w:t xml:space="preserve"> sie zurück</w:t>
      </w:r>
      <w:r>
        <w:rPr>
          <w:rFonts w:ascii="Source Sans Pro" w:hAnsi="Source Sans Pro" w:cs="Source Sans Pro"/>
          <w:sz w:val="22"/>
          <w:szCs w:val="22"/>
        </w:rPr>
        <w:t xml:space="preserve">. </w:t>
      </w:r>
      <w:r w:rsidR="0014498B" w:rsidRPr="00A2086A">
        <w:rPr>
          <w:rFonts w:ascii="Source Sans Pro" w:hAnsi="Source Sans Pro" w:cs="Source Sans Pro"/>
          <w:i/>
          <w:sz w:val="22"/>
          <w:szCs w:val="22"/>
        </w:rPr>
        <w:t>„</w:t>
      </w:r>
      <w:r w:rsidR="009312C4" w:rsidRPr="00A2086A">
        <w:rPr>
          <w:rFonts w:ascii="Source Sans Pro" w:hAnsi="Source Sans Pro" w:cs="Source Sans Pro"/>
          <w:i/>
          <w:sz w:val="22"/>
          <w:szCs w:val="22"/>
        </w:rPr>
        <w:t xml:space="preserve">Köln </w:t>
      </w:r>
      <w:r w:rsidR="00973056">
        <w:rPr>
          <w:rFonts w:ascii="Source Sans Pro" w:hAnsi="Source Sans Pro" w:cs="Source Sans Pro"/>
          <w:i/>
          <w:sz w:val="22"/>
          <w:szCs w:val="22"/>
        </w:rPr>
        <w:t xml:space="preserve">beispielsweise </w:t>
      </w:r>
      <w:r w:rsidR="009312C4" w:rsidRPr="00A2086A">
        <w:rPr>
          <w:rFonts w:ascii="Source Sans Pro" w:hAnsi="Source Sans Pro" w:cs="Source Sans Pro"/>
          <w:i/>
          <w:sz w:val="22"/>
          <w:szCs w:val="22"/>
        </w:rPr>
        <w:t>übertr</w:t>
      </w:r>
      <w:r w:rsidR="009312C4">
        <w:rPr>
          <w:rFonts w:ascii="Source Sans Pro" w:hAnsi="Source Sans Pro" w:cs="Source Sans Pro"/>
          <w:i/>
          <w:sz w:val="22"/>
          <w:szCs w:val="22"/>
        </w:rPr>
        <w:t>a</w:t>
      </w:r>
      <w:r w:rsidR="009312C4" w:rsidRPr="00A2086A">
        <w:rPr>
          <w:rFonts w:ascii="Source Sans Pro" w:hAnsi="Source Sans Pro" w:cs="Source Sans Pro"/>
          <w:i/>
          <w:sz w:val="22"/>
          <w:szCs w:val="22"/>
        </w:rPr>
        <w:t xml:space="preserve">f </w:t>
      </w:r>
      <w:r w:rsidR="00A2086A" w:rsidRPr="00A2086A">
        <w:rPr>
          <w:rFonts w:ascii="Source Sans Pro" w:hAnsi="Source Sans Pro" w:cs="Source Sans Pro"/>
          <w:i/>
          <w:sz w:val="22"/>
          <w:szCs w:val="22"/>
        </w:rPr>
        <w:t xml:space="preserve">das Vor-Corona-Niveau </w:t>
      </w:r>
      <w:r w:rsidR="0014498B" w:rsidRPr="00A2086A">
        <w:rPr>
          <w:rFonts w:ascii="Source Sans Pro" w:hAnsi="Source Sans Pro" w:cs="Source Sans Pro"/>
          <w:i/>
          <w:sz w:val="22"/>
          <w:szCs w:val="22"/>
        </w:rPr>
        <w:t>mit der höchsten Zuwachsrate leicht</w:t>
      </w:r>
      <w:r w:rsidR="009312C4">
        <w:rPr>
          <w:rFonts w:ascii="Source Sans Pro" w:hAnsi="Source Sans Pro" w:cs="Source Sans Pro"/>
          <w:i/>
          <w:sz w:val="22"/>
          <w:szCs w:val="22"/>
        </w:rPr>
        <w:t>.</w:t>
      </w:r>
      <w:r w:rsidR="0014498B" w:rsidRPr="00A2086A">
        <w:rPr>
          <w:rFonts w:ascii="Source Sans Pro" w:hAnsi="Source Sans Pro" w:cs="Source Sans Pro"/>
          <w:i/>
          <w:sz w:val="22"/>
          <w:szCs w:val="22"/>
        </w:rPr>
        <w:t xml:space="preserve"> Berlin </w:t>
      </w:r>
      <w:r w:rsidR="009312C4">
        <w:rPr>
          <w:rFonts w:ascii="Source Sans Pro" w:hAnsi="Source Sans Pro" w:cs="Source Sans Pro"/>
          <w:i/>
          <w:sz w:val="22"/>
          <w:szCs w:val="22"/>
        </w:rPr>
        <w:t xml:space="preserve">wiederum </w:t>
      </w:r>
      <w:r w:rsidR="009312C4" w:rsidRPr="00A2086A">
        <w:rPr>
          <w:rFonts w:ascii="Source Sans Pro" w:hAnsi="Source Sans Pro" w:cs="Source Sans Pro"/>
          <w:i/>
          <w:sz w:val="22"/>
          <w:szCs w:val="22"/>
        </w:rPr>
        <w:t>erreicht</w:t>
      </w:r>
      <w:r w:rsidR="009312C4">
        <w:rPr>
          <w:rFonts w:ascii="Source Sans Pro" w:hAnsi="Source Sans Pro" w:cs="Source Sans Pro"/>
          <w:i/>
          <w:sz w:val="22"/>
          <w:szCs w:val="22"/>
        </w:rPr>
        <w:t>e</w:t>
      </w:r>
      <w:r w:rsidR="009312C4" w:rsidRPr="00A2086A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9312C4">
        <w:rPr>
          <w:rFonts w:ascii="Source Sans Pro" w:hAnsi="Source Sans Pro" w:cs="Source Sans Pro"/>
          <w:i/>
          <w:sz w:val="22"/>
          <w:szCs w:val="22"/>
        </w:rPr>
        <w:t xml:space="preserve">das Niveau von 2019 nur bei der </w:t>
      </w:r>
      <w:r w:rsidR="009312C4" w:rsidRPr="00A2086A">
        <w:rPr>
          <w:rFonts w:ascii="Source Sans Pro" w:hAnsi="Source Sans Pro" w:cs="Source Sans Pro"/>
          <w:i/>
          <w:sz w:val="22"/>
          <w:szCs w:val="22"/>
        </w:rPr>
        <w:t>Vertragszahl</w:t>
      </w:r>
      <w:r w:rsidR="009312C4">
        <w:rPr>
          <w:rFonts w:ascii="Source Sans Pro" w:hAnsi="Source Sans Pro" w:cs="Source Sans Pro"/>
          <w:i/>
          <w:sz w:val="22"/>
          <w:szCs w:val="22"/>
        </w:rPr>
        <w:t>. Dennoch ist das</w:t>
      </w:r>
      <w:r w:rsidR="00A2086A">
        <w:rPr>
          <w:rFonts w:ascii="Source Sans Pro" w:hAnsi="Source Sans Pro" w:cs="Source Sans Pro"/>
          <w:i/>
          <w:sz w:val="22"/>
          <w:szCs w:val="22"/>
        </w:rPr>
        <w:t xml:space="preserve"> Plus </w:t>
      </w:r>
      <w:r w:rsidR="009312C4">
        <w:rPr>
          <w:rFonts w:ascii="Source Sans Pro" w:hAnsi="Source Sans Pro" w:cs="Source Sans Pro"/>
          <w:i/>
          <w:sz w:val="22"/>
          <w:szCs w:val="22"/>
        </w:rPr>
        <w:t xml:space="preserve">beim Flächenumsatz </w:t>
      </w:r>
      <w:r w:rsidR="00A2086A">
        <w:rPr>
          <w:rFonts w:ascii="Source Sans Pro" w:hAnsi="Source Sans Pro" w:cs="Source Sans Pro"/>
          <w:i/>
          <w:sz w:val="22"/>
          <w:szCs w:val="22"/>
        </w:rPr>
        <w:t xml:space="preserve">von einem Fünftel </w:t>
      </w:r>
      <w:r w:rsidR="0014498B" w:rsidRPr="00A2086A">
        <w:rPr>
          <w:rFonts w:ascii="Source Sans Pro" w:hAnsi="Source Sans Pro" w:cs="Source Sans Pro"/>
          <w:i/>
          <w:sz w:val="22"/>
          <w:szCs w:val="22"/>
        </w:rPr>
        <w:t xml:space="preserve">angesichts </w:t>
      </w:r>
      <w:r w:rsidR="00A2086A" w:rsidRPr="00A2086A">
        <w:rPr>
          <w:rFonts w:ascii="Source Sans Pro" w:hAnsi="Source Sans Pro" w:cs="Source Sans Pro"/>
          <w:i/>
          <w:sz w:val="22"/>
          <w:szCs w:val="22"/>
        </w:rPr>
        <w:t xml:space="preserve">fehlender </w:t>
      </w:r>
      <w:r w:rsidR="00973056">
        <w:rPr>
          <w:rFonts w:ascii="Source Sans Pro" w:hAnsi="Source Sans Pro" w:cs="Source Sans Pro"/>
          <w:i/>
          <w:sz w:val="22"/>
          <w:szCs w:val="22"/>
        </w:rPr>
        <w:t>Abschlüsse</w:t>
      </w:r>
      <w:r w:rsidR="00A2086A" w:rsidRPr="00A2086A">
        <w:rPr>
          <w:rFonts w:ascii="Source Sans Pro" w:hAnsi="Source Sans Pro" w:cs="Source Sans Pro"/>
          <w:i/>
          <w:sz w:val="22"/>
          <w:szCs w:val="22"/>
        </w:rPr>
        <w:t xml:space="preserve"> über 5.000 Quadratmeter </w:t>
      </w:r>
      <w:r w:rsidR="009312C4">
        <w:rPr>
          <w:rFonts w:ascii="Source Sans Pro" w:hAnsi="Source Sans Pro" w:cs="Source Sans Pro"/>
          <w:i/>
          <w:sz w:val="22"/>
          <w:szCs w:val="22"/>
        </w:rPr>
        <w:t>beachtlich</w:t>
      </w:r>
      <w:r w:rsidR="00A2086A" w:rsidRPr="00A2086A">
        <w:rPr>
          <w:rFonts w:ascii="Source Sans Pro" w:hAnsi="Source Sans Pro" w:cs="Source Sans Pro"/>
          <w:i/>
          <w:sz w:val="22"/>
          <w:szCs w:val="22"/>
        </w:rPr>
        <w:t>“,</w:t>
      </w:r>
      <w:r w:rsidR="00A2086A">
        <w:rPr>
          <w:rFonts w:ascii="Source Sans Pro" w:hAnsi="Source Sans Pro" w:cs="Source Sans Pro"/>
          <w:sz w:val="22"/>
          <w:szCs w:val="22"/>
        </w:rPr>
        <w:t xml:space="preserve"> differenziert </w:t>
      </w:r>
      <w:r w:rsidR="00A2086A" w:rsidRPr="00A2086A">
        <w:rPr>
          <w:rFonts w:ascii="Source Sans Pro" w:hAnsi="Source Sans Pro" w:cs="Source Sans Pro"/>
          <w:b/>
          <w:sz w:val="22"/>
          <w:szCs w:val="22"/>
        </w:rPr>
        <w:t>Schön</w:t>
      </w:r>
      <w:r w:rsidR="00A2086A">
        <w:rPr>
          <w:rFonts w:ascii="Source Sans Pro" w:hAnsi="Source Sans Pro" w:cs="Source Sans Pro"/>
          <w:sz w:val="22"/>
          <w:szCs w:val="22"/>
        </w:rPr>
        <w:t xml:space="preserve">. </w:t>
      </w:r>
      <w:r w:rsidR="00EB19E5">
        <w:rPr>
          <w:rFonts w:ascii="Source Sans Pro" w:hAnsi="Source Sans Pro" w:cs="Source Sans Pro"/>
          <w:sz w:val="22"/>
          <w:szCs w:val="22"/>
        </w:rPr>
        <w:t>I</w:t>
      </w:r>
      <w:r w:rsidR="00A2086A">
        <w:rPr>
          <w:rFonts w:ascii="Source Sans Pro" w:hAnsi="Source Sans Pro" w:cs="Source Sans Pro"/>
          <w:sz w:val="22"/>
          <w:szCs w:val="22"/>
        </w:rPr>
        <w:t>n Stuttgart</w:t>
      </w:r>
      <w:r w:rsidR="00DC7EB8">
        <w:rPr>
          <w:rFonts w:ascii="Source Sans Pro" w:hAnsi="Source Sans Pro" w:cs="Source Sans Pro"/>
          <w:sz w:val="22"/>
          <w:szCs w:val="22"/>
        </w:rPr>
        <w:t xml:space="preserve">, dem Standort mit dem größten Rückgang, </w:t>
      </w:r>
      <w:r w:rsidR="00895BBC">
        <w:rPr>
          <w:rFonts w:ascii="Source Sans Pro" w:hAnsi="Source Sans Pro" w:cs="Source Sans Pro"/>
          <w:sz w:val="22"/>
          <w:szCs w:val="22"/>
        </w:rPr>
        <w:t xml:space="preserve">wurden </w:t>
      </w:r>
      <w:r w:rsidR="00DC7EB8">
        <w:rPr>
          <w:rFonts w:ascii="Source Sans Pro" w:hAnsi="Source Sans Pro" w:cs="Source Sans Pro"/>
          <w:sz w:val="22"/>
          <w:szCs w:val="22"/>
        </w:rPr>
        <w:t xml:space="preserve">erfreulicherweise </w:t>
      </w:r>
      <w:r w:rsidR="00895BBC">
        <w:rPr>
          <w:rFonts w:ascii="Source Sans Pro" w:hAnsi="Source Sans Pro" w:cs="Source Sans Pro"/>
          <w:sz w:val="22"/>
          <w:szCs w:val="22"/>
        </w:rPr>
        <w:t xml:space="preserve">wieder mehr Verträge abgeschlossen als vor einem Jahr, </w:t>
      </w:r>
      <w:r w:rsidR="00973056">
        <w:rPr>
          <w:rFonts w:ascii="Source Sans Pro" w:hAnsi="Source Sans Pro" w:cs="Source Sans Pro"/>
          <w:sz w:val="22"/>
          <w:szCs w:val="22"/>
        </w:rPr>
        <w:t>besonders</w:t>
      </w:r>
      <w:r w:rsidR="009312C4">
        <w:rPr>
          <w:rFonts w:ascii="Source Sans Pro" w:hAnsi="Source Sans Pro" w:cs="Source Sans Pro"/>
          <w:sz w:val="22"/>
          <w:szCs w:val="22"/>
        </w:rPr>
        <w:t xml:space="preserve"> in den Flächensegmenten mit kleinen und mittelgroßen Gesuchen</w:t>
      </w:r>
      <w:r w:rsidR="00895BBC">
        <w:rPr>
          <w:rFonts w:ascii="Source Sans Pro" w:hAnsi="Source Sans Pro" w:cs="Source Sans Pro"/>
          <w:sz w:val="22"/>
          <w:szCs w:val="22"/>
        </w:rPr>
        <w:t xml:space="preserve">. </w:t>
      </w:r>
      <w:r w:rsidR="00895BBC" w:rsidRPr="0002187D">
        <w:rPr>
          <w:rFonts w:ascii="Source Sans Pro" w:hAnsi="Source Sans Pro" w:cs="Source Sans Pro"/>
          <w:i/>
          <w:sz w:val="22"/>
          <w:szCs w:val="22"/>
        </w:rPr>
        <w:t>„</w:t>
      </w:r>
      <w:r w:rsidR="00003819">
        <w:rPr>
          <w:rFonts w:ascii="Source Sans Pro" w:hAnsi="Source Sans Pro" w:cs="Source Sans Pro"/>
          <w:i/>
          <w:sz w:val="22"/>
          <w:szCs w:val="22"/>
        </w:rPr>
        <w:t xml:space="preserve">Die Industrie als üblicher Hauptflächenabnehmer </w:t>
      </w:r>
      <w:r w:rsidR="00BD0426">
        <w:rPr>
          <w:rFonts w:ascii="Source Sans Pro" w:hAnsi="Source Sans Pro" w:cs="Source Sans Pro"/>
          <w:i/>
          <w:sz w:val="22"/>
          <w:szCs w:val="22"/>
        </w:rPr>
        <w:t>i</w:t>
      </w:r>
      <w:r w:rsidR="00BD0426" w:rsidRPr="0002187D">
        <w:rPr>
          <w:rFonts w:ascii="Source Sans Pro" w:hAnsi="Source Sans Pro" w:cs="Source Sans Pro"/>
          <w:i/>
          <w:sz w:val="22"/>
          <w:szCs w:val="22"/>
        </w:rPr>
        <w:t xml:space="preserve">m Süden </w:t>
      </w:r>
      <w:r w:rsidR="00003819">
        <w:rPr>
          <w:rFonts w:ascii="Source Sans Pro" w:hAnsi="Source Sans Pro" w:cs="Source Sans Pro"/>
          <w:i/>
          <w:sz w:val="22"/>
          <w:szCs w:val="22"/>
        </w:rPr>
        <w:t xml:space="preserve">wurde </w:t>
      </w:r>
      <w:r w:rsidR="00BD0426">
        <w:rPr>
          <w:rFonts w:ascii="Source Sans Pro" w:hAnsi="Source Sans Pro" w:cs="Source Sans Pro"/>
          <w:i/>
          <w:sz w:val="22"/>
          <w:szCs w:val="22"/>
        </w:rPr>
        <w:t>von</w:t>
      </w:r>
      <w:r w:rsidR="00003819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895BBC" w:rsidRPr="0002187D">
        <w:rPr>
          <w:rFonts w:ascii="Source Sans Pro" w:hAnsi="Source Sans Pro" w:cs="Source Sans Pro"/>
          <w:i/>
          <w:sz w:val="22"/>
          <w:szCs w:val="22"/>
        </w:rPr>
        <w:t>IT- und Telekommunikationsunternehmen</w:t>
      </w:r>
      <w:r w:rsidR="00BD0426" w:rsidRPr="00BD0426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5476AA">
        <w:rPr>
          <w:rFonts w:ascii="Source Sans Pro" w:hAnsi="Source Sans Pro" w:cs="Source Sans Pro"/>
          <w:i/>
          <w:sz w:val="22"/>
          <w:szCs w:val="22"/>
        </w:rPr>
        <w:t>abgelöst</w:t>
      </w:r>
      <w:r w:rsidR="00EB19E5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1C5D5B">
        <w:rPr>
          <w:rFonts w:ascii="Source Sans Pro" w:hAnsi="Source Sans Pro" w:cs="Source Sans Pro"/>
          <w:i/>
          <w:sz w:val="22"/>
          <w:szCs w:val="22"/>
        </w:rPr>
        <w:t xml:space="preserve">Angesichts abflachender Neubestellungen </w:t>
      </w:r>
      <w:r w:rsidR="009A53E2">
        <w:rPr>
          <w:rFonts w:ascii="Source Sans Pro" w:hAnsi="Source Sans Pro" w:cs="Source Sans Pro"/>
          <w:i/>
          <w:sz w:val="22"/>
          <w:szCs w:val="22"/>
        </w:rPr>
        <w:t xml:space="preserve">und Lieferengpässen </w:t>
      </w:r>
      <w:r w:rsidR="001C5D5B">
        <w:rPr>
          <w:rFonts w:ascii="Source Sans Pro" w:hAnsi="Source Sans Pro" w:cs="Source Sans Pro"/>
          <w:i/>
          <w:sz w:val="22"/>
          <w:szCs w:val="22"/>
        </w:rPr>
        <w:t xml:space="preserve">bei </w:t>
      </w:r>
      <w:r w:rsidR="005476AA">
        <w:rPr>
          <w:rFonts w:ascii="Source Sans Pro" w:hAnsi="Source Sans Pro" w:cs="Source Sans Pro"/>
          <w:i/>
          <w:sz w:val="22"/>
          <w:szCs w:val="22"/>
        </w:rPr>
        <w:t>noch gefüllten</w:t>
      </w:r>
      <w:r w:rsidR="001C5D5B">
        <w:rPr>
          <w:rFonts w:ascii="Source Sans Pro" w:hAnsi="Source Sans Pro" w:cs="Source Sans Pro"/>
          <w:i/>
          <w:sz w:val="22"/>
          <w:szCs w:val="22"/>
        </w:rPr>
        <w:t xml:space="preserve"> Auftragsbüchern </w:t>
      </w:r>
      <w:r w:rsidR="00F65709">
        <w:rPr>
          <w:rFonts w:ascii="Source Sans Pro" w:hAnsi="Source Sans Pro" w:cs="Source Sans Pro"/>
          <w:i/>
          <w:sz w:val="22"/>
          <w:szCs w:val="22"/>
        </w:rPr>
        <w:t xml:space="preserve">nahm </w:t>
      </w:r>
      <w:r w:rsidR="00DC7EB8">
        <w:rPr>
          <w:rFonts w:ascii="Source Sans Pro" w:hAnsi="Source Sans Pro" w:cs="Source Sans Pro"/>
          <w:i/>
          <w:sz w:val="22"/>
          <w:szCs w:val="22"/>
        </w:rPr>
        <w:t>die Stimmung im verarbeitenden Gewerbe</w:t>
      </w:r>
      <w:r w:rsidR="00F65709">
        <w:rPr>
          <w:rFonts w:ascii="Source Sans Pro" w:hAnsi="Source Sans Pro" w:cs="Source Sans Pro"/>
          <w:i/>
          <w:sz w:val="22"/>
          <w:szCs w:val="22"/>
        </w:rPr>
        <w:t xml:space="preserve"> laut </w:t>
      </w:r>
      <w:r w:rsidR="001C5D5B">
        <w:rPr>
          <w:rFonts w:ascii="Source Sans Pro" w:hAnsi="Source Sans Pro" w:cs="Source Sans Pro"/>
          <w:i/>
          <w:sz w:val="22"/>
          <w:szCs w:val="22"/>
        </w:rPr>
        <w:t>ifo Geschäftsklimaindex bereits das dritte Mal in Folge</w:t>
      </w:r>
      <w:r w:rsidR="00F65709">
        <w:rPr>
          <w:rFonts w:ascii="Source Sans Pro" w:hAnsi="Source Sans Pro" w:cs="Source Sans Pro"/>
          <w:i/>
          <w:sz w:val="22"/>
          <w:szCs w:val="22"/>
        </w:rPr>
        <w:t xml:space="preserve"> ab</w:t>
      </w:r>
      <w:r w:rsidR="001C5D5B">
        <w:rPr>
          <w:rFonts w:ascii="Source Sans Pro" w:hAnsi="Source Sans Pro" w:cs="Source Sans Pro"/>
          <w:i/>
          <w:sz w:val="22"/>
          <w:szCs w:val="22"/>
        </w:rPr>
        <w:t xml:space="preserve">. Daher </w:t>
      </w:r>
      <w:r w:rsidR="009A3211">
        <w:rPr>
          <w:rFonts w:ascii="Source Sans Pro" w:hAnsi="Source Sans Pro" w:cs="Source Sans Pro"/>
          <w:i/>
          <w:sz w:val="22"/>
          <w:szCs w:val="22"/>
        </w:rPr>
        <w:t>bleibt abzuwarten</w:t>
      </w:r>
      <w:r w:rsidR="0002187D" w:rsidRPr="0002187D">
        <w:rPr>
          <w:rFonts w:ascii="Source Sans Pro" w:hAnsi="Source Sans Pro" w:cs="Source Sans Pro"/>
          <w:i/>
          <w:sz w:val="22"/>
          <w:szCs w:val="22"/>
        </w:rPr>
        <w:t xml:space="preserve">, </w:t>
      </w:r>
      <w:r w:rsidR="001D3808">
        <w:rPr>
          <w:rFonts w:ascii="Source Sans Pro" w:hAnsi="Source Sans Pro" w:cs="Source Sans Pro"/>
          <w:i/>
          <w:sz w:val="22"/>
          <w:szCs w:val="22"/>
        </w:rPr>
        <w:t xml:space="preserve">wann sich die Industrie ihre Pole Position </w:t>
      </w:r>
      <w:r w:rsidR="00DC7EB8">
        <w:rPr>
          <w:rFonts w:ascii="Source Sans Pro" w:hAnsi="Source Sans Pro" w:cs="Source Sans Pro"/>
          <w:i/>
          <w:sz w:val="22"/>
          <w:szCs w:val="22"/>
        </w:rPr>
        <w:t xml:space="preserve">im Süden </w:t>
      </w:r>
      <w:r w:rsidR="00024032">
        <w:rPr>
          <w:rFonts w:ascii="Source Sans Pro" w:hAnsi="Source Sans Pro" w:cs="Source Sans Pro"/>
          <w:i/>
          <w:sz w:val="22"/>
          <w:szCs w:val="22"/>
        </w:rPr>
        <w:t>zurückholt</w:t>
      </w:r>
      <w:r w:rsidR="0002187D" w:rsidRPr="0002187D">
        <w:rPr>
          <w:rFonts w:ascii="Source Sans Pro" w:hAnsi="Source Sans Pro" w:cs="Source Sans Pro"/>
          <w:i/>
          <w:sz w:val="22"/>
          <w:szCs w:val="22"/>
        </w:rPr>
        <w:t>“,</w:t>
      </w:r>
      <w:r w:rsidR="0002187D">
        <w:rPr>
          <w:rFonts w:ascii="Source Sans Pro" w:hAnsi="Source Sans Pro" w:cs="Source Sans Pro"/>
          <w:sz w:val="22"/>
          <w:szCs w:val="22"/>
        </w:rPr>
        <w:t xml:space="preserve"> so </w:t>
      </w:r>
      <w:r w:rsidR="0002187D" w:rsidRPr="0002187D">
        <w:rPr>
          <w:rFonts w:ascii="Source Sans Pro" w:hAnsi="Source Sans Pro" w:cs="Source Sans Pro"/>
          <w:b/>
          <w:sz w:val="22"/>
          <w:szCs w:val="22"/>
        </w:rPr>
        <w:t>Schön</w:t>
      </w:r>
      <w:r w:rsidR="0002187D">
        <w:rPr>
          <w:rFonts w:ascii="Source Sans Pro" w:hAnsi="Source Sans Pro" w:cs="Source Sans Pro"/>
          <w:sz w:val="22"/>
          <w:szCs w:val="22"/>
        </w:rPr>
        <w:t xml:space="preserve">. </w:t>
      </w:r>
      <w:r w:rsidR="00013FE8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4691ED21" w14:textId="65C1F30C" w:rsidR="00DC0951" w:rsidRPr="006456EA" w:rsidRDefault="00997675" w:rsidP="00DC095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 xml:space="preserve">büros </w:t>
      </w:r>
      <w:r w:rsidR="00DD2947">
        <w:rPr>
          <w:rFonts w:ascii="Source Sans Pro" w:hAnsi="Source Sans Pro" w:cs="Source Sans Pro"/>
          <w:caps/>
          <w:color w:val="0086A8"/>
          <w:sz w:val="22"/>
          <w:szCs w:val="22"/>
        </w:rPr>
        <w:t>bleiben teil des arbeitskosmos</w:t>
      </w:r>
      <w:r w:rsidR="00DC0951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2829DAA3" w14:textId="146C2C8F" w:rsidR="000136D7" w:rsidRDefault="008113A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Trotz</w:t>
      </w:r>
      <w:r w:rsidR="006D7E9F">
        <w:rPr>
          <w:rFonts w:ascii="Source Sans Pro" w:hAnsi="Source Sans Pro" w:cs="Source Sans Pro"/>
          <w:sz w:val="22"/>
          <w:szCs w:val="22"/>
        </w:rPr>
        <w:t xml:space="preserve"> der </w:t>
      </w:r>
      <w:r w:rsidR="00024032">
        <w:rPr>
          <w:rFonts w:ascii="Source Sans Pro" w:hAnsi="Source Sans Pro" w:cs="Source Sans Pro"/>
          <w:sz w:val="22"/>
          <w:szCs w:val="22"/>
        </w:rPr>
        <w:t xml:space="preserve">Umwälzungen in der Arbeitswelt und der befürchteten </w:t>
      </w:r>
      <w:r w:rsidR="00C64096">
        <w:rPr>
          <w:rFonts w:ascii="Source Sans Pro" w:hAnsi="Source Sans Pro" w:cs="Source Sans Pro"/>
          <w:sz w:val="22"/>
          <w:szCs w:val="22"/>
        </w:rPr>
        <w:t xml:space="preserve">Zunahme </w:t>
      </w:r>
      <w:r w:rsidR="00F77715">
        <w:rPr>
          <w:rFonts w:ascii="Source Sans Pro" w:hAnsi="Source Sans Pro" w:cs="Source Sans Pro"/>
          <w:sz w:val="22"/>
          <w:szCs w:val="22"/>
        </w:rPr>
        <w:t>von</w:t>
      </w:r>
      <w:r w:rsidR="00C64096">
        <w:rPr>
          <w:rFonts w:ascii="Source Sans Pro" w:hAnsi="Source Sans Pro" w:cs="Source Sans Pro"/>
          <w:sz w:val="22"/>
          <w:szCs w:val="22"/>
        </w:rPr>
        <w:t xml:space="preserve"> </w:t>
      </w:r>
      <w:r w:rsidR="00024032">
        <w:rPr>
          <w:rFonts w:ascii="Source Sans Pro" w:hAnsi="Source Sans Pro" w:cs="Source Sans Pro"/>
          <w:sz w:val="22"/>
          <w:szCs w:val="22"/>
        </w:rPr>
        <w:t>Insolvenzen</w:t>
      </w:r>
      <w:r w:rsidR="006D7E9F">
        <w:rPr>
          <w:rFonts w:ascii="Source Sans Pro" w:hAnsi="Source Sans Pro" w:cs="Source Sans Pro"/>
          <w:sz w:val="22"/>
          <w:szCs w:val="22"/>
        </w:rPr>
        <w:t xml:space="preserve"> </w:t>
      </w:r>
      <w:r w:rsidR="00FD6D0F">
        <w:rPr>
          <w:rFonts w:ascii="Source Sans Pro" w:hAnsi="Source Sans Pro" w:cs="Source Sans Pro"/>
          <w:sz w:val="22"/>
          <w:szCs w:val="22"/>
        </w:rPr>
        <w:t>beträgt d</w:t>
      </w:r>
      <w:r w:rsidR="006D7E9F">
        <w:rPr>
          <w:rFonts w:ascii="Source Sans Pro" w:hAnsi="Source Sans Pro" w:cs="Source Sans Pro"/>
          <w:sz w:val="22"/>
          <w:szCs w:val="22"/>
        </w:rPr>
        <w:t xml:space="preserve">ie Top-7-Leerstandsquote am Ende des 3. Quartals </w:t>
      </w:r>
      <w:r w:rsidR="00AB300C">
        <w:rPr>
          <w:rFonts w:ascii="Source Sans Pro" w:hAnsi="Source Sans Pro" w:cs="Source Sans Pro"/>
          <w:sz w:val="22"/>
          <w:szCs w:val="22"/>
        </w:rPr>
        <w:t xml:space="preserve">noch immer </w:t>
      </w:r>
      <w:r w:rsidR="00C64096">
        <w:rPr>
          <w:rFonts w:ascii="Source Sans Pro" w:hAnsi="Source Sans Pro" w:cs="Source Sans Pro"/>
          <w:sz w:val="22"/>
          <w:szCs w:val="22"/>
        </w:rPr>
        <w:t xml:space="preserve">moderate </w:t>
      </w:r>
      <w:r w:rsidR="006D7E9F">
        <w:rPr>
          <w:rFonts w:ascii="Source Sans Pro" w:hAnsi="Source Sans Pro" w:cs="Source Sans Pro"/>
          <w:sz w:val="22"/>
          <w:szCs w:val="22"/>
        </w:rPr>
        <w:t>4,3 % gegenüber 3,2 % vor einem Jahr.</w:t>
      </w:r>
      <w:r w:rsidR="00C64096">
        <w:rPr>
          <w:rFonts w:ascii="Source Sans Pro" w:hAnsi="Source Sans Pro" w:cs="Source Sans Pro"/>
          <w:sz w:val="22"/>
          <w:szCs w:val="22"/>
        </w:rPr>
        <w:t xml:space="preserve"> </w:t>
      </w:r>
      <w:r w:rsidR="00F77715">
        <w:rPr>
          <w:rFonts w:ascii="Source Sans Pro" w:hAnsi="Source Sans Pro" w:cs="Source Sans Pro"/>
          <w:sz w:val="22"/>
          <w:szCs w:val="22"/>
        </w:rPr>
        <w:t>Wie erwartet hat das kurzfristig verfügbare Flächenangebot an allen Top-7-Standorten zugenommen</w:t>
      </w:r>
      <w:r w:rsidR="00AB300C">
        <w:rPr>
          <w:rFonts w:ascii="Source Sans Pro" w:hAnsi="Source Sans Pro" w:cs="Source Sans Pro"/>
          <w:sz w:val="22"/>
          <w:szCs w:val="22"/>
        </w:rPr>
        <w:t xml:space="preserve"> und dies am deutlichsten in </w:t>
      </w:r>
      <w:r w:rsidR="006B2684">
        <w:rPr>
          <w:rFonts w:ascii="Source Sans Pro" w:hAnsi="Source Sans Pro" w:cs="Source Sans Pro"/>
          <w:sz w:val="22"/>
          <w:szCs w:val="22"/>
        </w:rPr>
        <w:t>München, Berlin und Stuttgart</w:t>
      </w:r>
      <w:r w:rsidR="00AB300C">
        <w:rPr>
          <w:rFonts w:ascii="Source Sans Pro" w:hAnsi="Source Sans Pro" w:cs="Source Sans Pro"/>
          <w:sz w:val="22"/>
          <w:szCs w:val="22"/>
        </w:rPr>
        <w:t xml:space="preserve">. Mit einer </w:t>
      </w:r>
      <w:proofErr w:type="spellStart"/>
      <w:r w:rsidR="00AB300C">
        <w:rPr>
          <w:rFonts w:ascii="Source Sans Pro" w:hAnsi="Source Sans Pro" w:cs="Source Sans Pro"/>
          <w:sz w:val="22"/>
          <w:szCs w:val="22"/>
        </w:rPr>
        <w:t>Leerstandsquote</w:t>
      </w:r>
      <w:proofErr w:type="spellEnd"/>
      <w:r w:rsidR="00AB300C">
        <w:rPr>
          <w:rFonts w:ascii="Source Sans Pro" w:hAnsi="Source Sans Pro" w:cs="Source Sans Pro"/>
          <w:sz w:val="22"/>
          <w:szCs w:val="22"/>
        </w:rPr>
        <w:t xml:space="preserve"> von 2,7 % markiert</w:t>
      </w:r>
      <w:r w:rsidR="00226210">
        <w:rPr>
          <w:rFonts w:ascii="Source Sans Pro" w:hAnsi="Source Sans Pro" w:cs="Source Sans Pro"/>
          <w:sz w:val="22"/>
          <w:szCs w:val="22"/>
        </w:rPr>
        <w:t>e</w:t>
      </w:r>
      <w:r w:rsidR="00AB300C">
        <w:rPr>
          <w:rFonts w:ascii="Source Sans Pro" w:hAnsi="Source Sans Pro" w:cs="Source Sans Pro"/>
          <w:sz w:val="22"/>
          <w:szCs w:val="22"/>
        </w:rPr>
        <w:t xml:space="preserve"> die Bundeshauptstadt das untere Ende der Skala, </w:t>
      </w:r>
      <w:r w:rsidR="00071BAF">
        <w:rPr>
          <w:rFonts w:ascii="Source Sans Pro" w:hAnsi="Source Sans Pro" w:cs="Source Sans Pro"/>
          <w:sz w:val="22"/>
          <w:szCs w:val="22"/>
        </w:rPr>
        <w:t>die Main</w:t>
      </w:r>
      <w:r w:rsidR="009A53E2">
        <w:rPr>
          <w:rFonts w:ascii="Source Sans Pro" w:hAnsi="Source Sans Pro" w:cs="Source Sans Pro"/>
          <w:sz w:val="22"/>
          <w:szCs w:val="22"/>
        </w:rPr>
        <w:t>-M</w:t>
      </w:r>
      <w:r w:rsidR="00071BAF">
        <w:rPr>
          <w:rFonts w:ascii="Source Sans Pro" w:hAnsi="Source Sans Pro" w:cs="Source Sans Pro"/>
          <w:sz w:val="22"/>
          <w:szCs w:val="22"/>
        </w:rPr>
        <w:t>etropole</w:t>
      </w:r>
      <w:r w:rsidR="00AB300C">
        <w:rPr>
          <w:rFonts w:ascii="Source Sans Pro" w:hAnsi="Source Sans Pro" w:cs="Source Sans Pro"/>
          <w:sz w:val="22"/>
          <w:szCs w:val="22"/>
        </w:rPr>
        <w:t xml:space="preserve"> mit 8,3 % das obere.</w:t>
      </w:r>
      <w:r w:rsidR="00DF25FA">
        <w:rPr>
          <w:rFonts w:ascii="Source Sans Pro" w:hAnsi="Source Sans Pro" w:cs="Source Sans Pro"/>
          <w:sz w:val="22"/>
          <w:szCs w:val="22"/>
        </w:rPr>
        <w:t xml:space="preserve"> </w:t>
      </w:r>
      <w:r w:rsidR="00CD77DD" w:rsidRPr="00CD77DD">
        <w:rPr>
          <w:rFonts w:ascii="Source Sans Pro" w:hAnsi="Source Sans Pro" w:cs="Source Sans Pro"/>
          <w:i/>
          <w:sz w:val="22"/>
          <w:szCs w:val="22"/>
        </w:rPr>
        <w:t xml:space="preserve">„Frankfurt </w:t>
      </w:r>
      <w:r w:rsidR="005810F0">
        <w:rPr>
          <w:rFonts w:ascii="Source Sans Pro" w:hAnsi="Source Sans Pro" w:cs="Source Sans Pro"/>
          <w:i/>
          <w:sz w:val="22"/>
          <w:szCs w:val="22"/>
        </w:rPr>
        <w:t xml:space="preserve">scheint </w:t>
      </w:r>
      <w:r w:rsidR="009A53E2">
        <w:rPr>
          <w:rFonts w:ascii="Source Sans Pro" w:hAnsi="Source Sans Pro" w:cs="Source Sans Pro"/>
          <w:i/>
          <w:sz w:val="22"/>
          <w:szCs w:val="22"/>
        </w:rPr>
        <w:t xml:space="preserve">dennoch </w:t>
      </w:r>
      <w:r w:rsidR="00AB300C">
        <w:rPr>
          <w:rFonts w:ascii="Source Sans Pro" w:hAnsi="Source Sans Pro" w:cs="Source Sans Pro"/>
          <w:i/>
          <w:sz w:val="22"/>
          <w:szCs w:val="22"/>
        </w:rPr>
        <w:t>beim Leerstand</w:t>
      </w:r>
      <w:r w:rsidR="00CD77DD" w:rsidRPr="00CD77DD">
        <w:rPr>
          <w:rFonts w:ascii="Source Sans Pro" w:hAnsi="Source Sans Pro" w:cs="Source Sans Pro"/>
          <w:i/>
          <w:sz w:val="22"/>
          <w:szCs w:val="22"/>
        </w:rPr>
        <w:t xml:space="preserve"> das </w:t>
      </w:r>
      <w:r w:rsidR="00997675">
        <w:rPr>
          <w:rFonts w:ascii="Source Sans Pro" w:hAnsi="Source Sans Pro" w:cs="Source Sans Pro"/>
          <w:i/>
          <w:sz w:val="22"/>
          <w:szCs w:val="22"/>
        </w:rPr>
        <w:t>Schlimmste</w:t>
      </w:r>
      <w:r w:rsidR="00CD77DD" w:rsidRPr="00CD77DD">
        <w:rPr>
          <w:rFonts w:ascii="Source Sans Pro" w:hAnsi="Source Sans Pro" w:cs="Source Sans Pro"/>
          <w:i/>
          <w:sz w:val="22"/>
          <w:szCs w:val="22"/>
        </w:rPr>
        <w:t xml:space="preserve"> überstanden </w:t>
      </w:r>
      <w:r w:rsidR="005810F0">
        <w:rPr>
          <w:rFonts w:ascii="Source Sans Pro" w:hAnsi="Source Sans Pro" w:cs="Source Sans Pro"/>
          <w:i/>
          <w:sz w:val="22"/>
          <w:szCs w:val="22"/>
        </w:rPr>
        <w:t>zu haben</w:t>
      </w:r>
      <w:r w:rsidR="00CD77DD" w:rsidRPr="00CD77DD">
        <w:rPr>
          <w:rFonts w:ascii="Source Sans Pro" w:hAnsi="Source Sans Pro" w:cs="Source Sans Pro"/>
          <w:i/>
          <w:sz w:val="22"/>
          <w:szCs w:val="22"/>
        </w:rPr>
        <w:t>“,</w:t>
      </w:r>
      <w:r w:rsidR="00CD77DD">
        <w:rPr>
          <w:rFonts w:ascii="Source Sans Pro" w:hAnsi="Source Sans Pro" w:cs="Source Sans Pro"/>
          <w:sz w:val="22"/>
          <w:szCs w:val="22"/>
        </w:rPr>
        <w:t xml:space="preserve"> kommentiert </w:t>
      </w:r>
      <w:r w:rsidR="00CD77DD" w:rsidRPr="00CD77DD">
        <w:rPr>
          <w:rFonts w:ascii="Source Sans Pro" w:hAnsi="Source Sans Pro" w:cs="Source Sans Pro"/>
          <w:b/>
          <w:sz w:val="22"/>
          <w:szCs w:val="22"/>
        </w:rPr>
        <w:t>Schön</w:t>
      </w:r>
      <w:r w:rsidR="00CD77DD">
        <w:rPr>
          <w:rFonts w:ascii="Source Sans Pro" w:hAnsi="Source Sans Pro" w:cs="Source Sans Pro"/>
          <w:sz w:val="22"/>
          <w:szCs w:val="22"/>
        </w:rPr>
        <w:t xml:space="preserve">. </w:t>
      </w:r>
      <w:r w:rsidR="006C1FF3">
        <w:rPr>
          <w:rFonts w:ascii="Source Sans Pro" w:hAnsi="Source Sans Pro" w:cs="Source Sans Pro"/>
          <w:sz w:val="22"/>
          <w:szCs w:val="22"/>
        </w:rPr>
        <w:t xml:space="preserve">Auch die Zahl der Untermietflächen </w:t>
      </w:r>
      <w:r w:rsidR="00580A44">
        <w:rPr>
          <w:rFonts w:ascii="Source Sans Pro" w:hAnsi="Source Sans Pro" w:cs="Source Sans Pro"/>
          <w:sz w:val="22"/>
          <w:szCs w:val="22"/>
        </w:rPr>
        <w:t>blieb weit hinter den B</w:t>
      </w:r>
      <w:r w:rsidR="006C1FF3">
        <w:rPr>
          <w:rFonts w:ascii="Source Sans Pro" w:hAnsi="Source Sans Pro" w:cs="Source Sans Pro"/>
          <w:sz w:val="22"/>
          <w:szCs w:val="22"/>
        </w:rPr>
        <w:t>efürcht</w:t>
      </w:r>
      <w:r w:rsidR="00580A44">
        <w:rPr>
          <w:rFonts w:ascii="Source Sans Pro" w:hAnsi="Source Sans Pro" w:cs="Source Sans Pro"/>
          <w:sz w:val="22"/>
          <w:szCs w:val="22"/>
        </w:rPr>
        <w:t>ungen</w:t>
      </w:r>
      <w:r w:rsidR="009A3211">
        <w:rPr>
          <w:rFonts w:ascii="Source Sans Pro" w:hAnsi="Source Sans Pro" w:cs="Source Sans Pro"/>
          <w:sz w:val="22"/>
          <w:szCs w:val="22"/>
        </w:rPr>
        <w:t xml:space="preserve"> zurück.</w:t>
      </w:r>
      <w:r w:rsidR="00DD2947">
        <w:rPr>
          <w:rFonts w:ascii="Source Sans Pro" w:hAnsi="Source Sans Pro" w:cs="Source Sans Pro"/>
          <w:sz w:val="22"/>
          <w:szCs w:val="22"/>
        </w:rPr>
        <w:t xml:space="preserve"> </w:t>
      </w:r>
      <w:r w:rsidR="00DD2947" w:rsidRPr="00DD2947">
        <w:rPr>
          <w:rFonts w:ascii="Source Sans Pro" w:hAnsi="Source Sans Pro" w:cs="Source Sans Pro"/>
          <w:i/>
          <w:sz w:val="22"/>
          <w:szCs w:val="22"/>
        </w:rPr>
        <w:t>„Anstatt überstürzt Flächen freizumachen</w:t>
      </w:r>
      <w:r w:rsidR="00DD2947">
        <w:rPr>
          <w:rFonts w:ascii="Source Sans Pro" w:hAnsi="Source Sans Pro" w:cs="Source Sans Pro"/>
          <w:i/>
          <w:sz w:val="22"/>
          <w:szCs w:val="22"/>
        </w:rPr>
        <w:t xml:space="preserve"> und so kurzfristig Miete zu sparen</w:t>
      </w:r>
      <w:r w:rsidR="00DD2947" w:rsidRPr="00DD2947">
        <w:rPr>
          <w:rFonts w:ascii="Source Sans Pro" w:hAnsi="Source Sans Pro" w:cs="Source Sans Pro"/>
          <w:i/>
          <w:sz w:val="22"/>
          <w:szCs w:val="22"/>
        </w:rPr>
        <w:t xml:space="preserve">, </w:t>
      </w:r>
      <w:r w:rsidR="00103C4E">
        <w:rPr>
          <w:rFonts w:ascii="Source Sans Pro" w:hAnsi="Source Sans Pro" w:cs="Source Sans Pro"/>
          <w:i/>
          <w:sz w:val="22"/>
          <w:szCs w:val="22"/>
        </w:rPr>
        <w:t xml:space="preserve">denken </w:t>
      </w:r>
      <w:r w:rsidR="00103C4E" w:rsidRPr="00DD2947">
        <w:rPr>
          <w:rFonts w:ascii="Source Sans Pro" w:hAnsi="Source Sans Pro" w:cs="Source Sans Pro"/>
          <w:i/>
          <w:sz w:val="22"/>
          <w:szCs w:val="22"/>
        </w:rPr>
        <w:t xml:space="preserve">die meisten Unternehmen </w:t>
      </w:r>
      <w:r w:rsidR="00103C4E">
        <w:rPr>
          <w:rFonts w:ascii="Source Sans Pro" w:hAnsi="Source Sans Pro" w:cs="Source Sans Pro"/>
          <w:i/>
          <w:sz w:val="22"/>
          <w:szCs w:val="22"/>
        </w:rPr>
        <w:t>langfristig</w:t>
      </w:r>
      <w:r w:rsidR="00103C4E" w:rsidRPr="00DD2947">
        <w:rPr>
          <w:rFonts w:ascii="Source Sans Pro" w:hAnsi="Source Sans Pro" w:cs="Source Sans Pro"/>
          <w:i/>
          <w:sz w:val="22"/>
          <w:szCs w:val="22"/>
        </w:rPr>
        <w:t xml:space="preserve"> und hinterfragen </w:t>
      </w:r>
      <w:r w:rsidR="00DD2947" w:rsidRPr="00DD2947">
        <w:rPr>
          <w:rFonts w:ascii="Source Sans Pro" w:hAnsi="Source Sans Pro" w:cs="Source Sans Pro"/>
          <w:i/>
          <w:sz w:val="22"/>
          <w:szCs w:val="22"/>
        </w:rPr>
        <w:t>ihre Geschäftsmodelle auf deren Zukunftstauglichkeit“,</w:t>
      </w:r>
      <w:r w:rsidR="00DD2947">
        <w:rPr>
          <w:rFonts w:ascii="Source Sans Pro" w:hAnsi="Source Sans Pro" w:cs="Source Sans Pro"/>
          <w:sz w:val="22"/>
          <w:szCs w:val="22"/>
        </w:rPr>
        <w:t xml:space="preserve"> beobachtet </w:t>
      </w:r>
      <w:r w:rsidR="00DD2947" w:rsidRPr="00DD2947">
        <w:rPr>
          <w:rFonts w:ascii="Source Sans Pro" w:hAnsi="Source Sans Pro" w:cs="Source Sans Pro"/>
          <w:b/>
          <w:sz w:val="22"/>
          <w:szCs w:val="22"/>
        </w:rPr>
        <w:t>Schön</w:t>
      </w:r>
      <w:r w:rsidR="00DD2947">
        <w:rPr>
          <w:rFonts w:ascii="Source Sans Pro" w:hAnsi="Source Sans Pro" w:cs="Source Sans Pro"/>
          <w:sz w:val="22"/>
          <w:szCs w:val="22"/>
        </w:rPr>
        <w:t>.</w:t>
      </w:r>
    </w:p>
    <w:p w14:paraId="6A8ABB46" w14:textId="5BA039FC" w:rsidR="009A3211" w:rsidRDefault="009A321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3D04C779" w14:textId="58E5F9D6" w:rsidR="009A3211" w:rsidRPr="006456EA" w:rsidRDefault="009A3211" w:rsidP="009A3211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grossverträge in der pipeline</w:t>
      </w:r>
      <w:r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0F4F78A6" w14:textId="190F17A6" w:rsidR="009A3211" w:rsidRDefault="00B71718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Der höchste Wert beim ifo September-Beschäftigungsbarometer seit Oktober 2018 lässt eine </w:t>
      </w:r>
      <w:r w:rsidR="00270180">
        <w:rPr>
          <w:rFonts w:ascii="Source Sans Pro" w:hAnsi="Source Sans Pro" w:cs="Source Sans Pro"/>
          <w:sz w:val="22"/>
          <w:szCs w:val="22"/>
        </w:rPr>
        <w:t xml:space="preserve">weiter zunehmende Marktbelebung </w:t>
      </w:r>
      <w:r>
        <w:rPr>
          <w:rFonts w:ascii="Source Sans Pro" w:hAnsi="Source Sans Pro" w:cs="Source Sans Pro"/>
          <w:sz w:val="22"/>
          <w:szCs w:val="22"/>
        </w:rPr>
        <w:t>erwarten. V</w:t>
      </w:r>
      <w:r w:rsidR="00270180">
        <w:rPr>
          <w:rFonts w:ascii="Source Sans Pro" w:hAnsi="Source Sans Pro" w:cs="Source Sans Pro"/>
          <w:sz w:val="22"/>
          <w:szCs w:val="22"/>
        </w:rPr>
        <w:t xml:space="preserve">erbunden mit der Tatsache, dass das 4. Quartal traditionell das dynamischste ist, sowie </w:t>
      </w:r>
      <w:r w:rsidR="009A53E2">
        <w:rPr>
          <w:rFonts w:ascii="Source Sans Pro" w:hAnsi="Source Sans Pro" w:cs="Source Sans Pro"/>
          <w:sz w:val="22"/>
          <w:szCs w:val="22"/>
        </w:rPr>
        <w:t xml:space="preserve">laufende </w:t>
      </w:r>
      <w:r w:rsidR="00B4714C">
        <w:rPr>
          <w:rFonts w:ascii="Source Sans Pro" w:hAnsi="Source Sans Pro" w:cs="Source Sans Pro"/>
          <w:sz w:val="22"/>
          <w:szCs w:val="22"/>
        </w:rPr>
        <w:t xml:space="preserve">Verhandlungen </w:t>
      </w:r>
      <w:r w:rsidR="00270180">
        <w:rPr>
          <w:rFonts w:ascii="Source Sans Pro" w:hAnsi="Source Sans Pro" w:cs="Source Sans Pro"/>
          <w:sz w:val="22"/>
          <w:szCs w:val="22"/>
        </w:rPr>
        <w:t>großvolumige</w:t>
      </w:r>
      <w:r w:rsidR="00B4714C">
        <w:rPr>
          <w:rFonts w:ascii="Source Sans Pro" w:hAnsi="Source Sans Pro" w:cs="Source Sans Pro"/>
          <w:sz w:val="22"/>
          <w:szCs w:val="22"/>
        </w:rPr>
        <w:t>r</w:t>
      </w:r>
      <w:r w:rsidR="00270180">
        <w:rPr>
          <w:rFonts w:ascii="Source Sans Pro" w:hAnsi="Source Sans Pro" w:cs="Source Sans Pro"/>
          <w:sz w:val="22"/>
          <w:szCs w:val="22"/>
        </w:rPr>
        <w:t xml:space="preserve"> Verträge in Berlin, Köln und Stuttgart lassen </w:t>
      </w:r>
      <w:r w:rsidR="008113A7">
        <w:rPr>
          <w:rFonts w:ascii="Source Sans Pro" w:hAnsi="Source Sans Pro" w:cs="Source Sans Pro"/>
          <w:sz w:val="22"/>
          <w:szCs w:val="22"/>
        </w:rPr>
        <w:t>im 4. Quartal</w:t>
      </w:r>
      <w:r w:rsidR="00B4714C">
        <w:rPr>
          <w:rFonts w:ascii="Source Sans Pro" w:hAnsi="Source Sans Pro" w:cs="Source Sans Pro"/>
          <w:sz w:val="22"/>
          <w:szCs w:val="22"/>
        </w:rPr>
        <w:t xml:space="preserve"> einen Flächenumsatz </w:t>
      </w:r>
      <w:r w:rsidR="009A53E2">
        <w:rPr>
          <w:rFonts w:ascii="Source Sans Pro" w:hAnsi="Source Sans Pro" w:cs="Source Sans Pro"/>
          <w:sz w:val="22"/>
          <w:szCs w:val="22"/>
        </w:rPr>
        <w:t>zwischen 7</w:t>
      </w:r>
      <w:r w:rsidR="00B4714C">
        <w:rPr>
          <w:rFonts w:ascii="Source Sans Pro" w:hAnsi="Source Sans Pro" w:cs="Source Sans Pro"/>
          <w:sz w:val="22"/>
          <w:szCs w:val="22"/>
        </w:rPr>
        <w:t xml:space="preserve">00.000 </w:t>
      </w:r>
      <w:r w:rsidR="009A53E2">
        <w:rPr>
          <w:rFonts w:ascii="Source Sans Pro" w:hAnsi="Source Sans Pro" w:cs="Source Sans Pro"/>
          <w:sz w:val="22"/>
          <w:szCs w:val="22"/>
        </w:rPr>
        <w:t xml:space="preserve">und 900.000 </w:t>
      </w:r>
      <w:r w:rsidR="00B4714C">
        <w:rPr>
          <w:rFonts w:ascii="Source Sans Pro" w:hAnsi="Source Sans Pro" w:cs="Source Sans Pro"/>
          <w:sz w:val="22"/>
          <w:szCs w:val="22"/>
        </w:rPr>
        <w:t xml:space="preserve">m² realistisch erscheinen. </w:t>
      </w:r>
      <w:r w:rsidR="00F6556A">
        <w:rPr>
          <w:rFonts w:ascii="Source Sans Pro" w:hAnsi="Source Sans Pro" w:cs="Source Sans Pro"/>
          <w:sz w:val="22"/>
          <w:szCs w:val="22"/>
        </w:rPr>
        <w:t>GPP geht daher von einem</w:t>
      </w:r>
      <w:r w:rsidR="00022F25">
        <w:rPr>
          <w:rFonts w:ascii="Source Sans Pro" w:hAnsi="Source Sans Pro" w:cs="Source Sans Pro"/>
          <w:sz w:val="22"/>
          <w:szCs w:val="22"/>
        </w:rPr>
        <w:t xml:space="preserve"> Jahresflä</w:t>
      </w:r>
      <w:r>
        <w:rPr>
          <w:rFonts w:ascii="Source Sans Pro" w:hAnsi="Source Sans Pro" w:cs="Source Sans Pro"/>
          <w:sz w:val="22"/>
          <w:szCs w:val="22"/>
        </w:rPr>
        <w:t xml:space="preserve">chenumsatz </w:t>
      </w:r>
      <w:r w:rsidR="00F6556A">
        <w:rPr>
          <w:rFonts w:ascii="Source Sans Pro" w:hAnsi="Source Sans Pro" w:cs="Source Sans Pro"/>
          <w:sz w:val="22"/>
          <w:szCs w:val="22"/>
        </w:rPr>
        <w:t>von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9A53E2">
        <w:rPr>
          <w:rFonts w:ascii="Source Sans Pro" w:hAnsi="Source Sans Pro" w:cs="Source Sans Pro"/>
          <w:sz w:val="22"/>
          <w:szCs w:val="22"/>
        </w:rPr>
        <w:t>knapp 3,0</w:t>
      </w:r>
      <w:r>
        <w:rPr>
          <w:rFonts w:ascii="Source Sans Pro" w:hAnsi="Source Sans Pro" w:cs="Source Sans Pro"/>
          <w:sz w:val="22"/>
          <w:szCs w:val="22"/>
        </w:rPr>
        <w:t xml:space="preserve"> Mio. m²</w:t>
      </w:r>
      <w:r w:rsidR="00022F25">
        <w:rPr>
          <w:rFonts w:ascii="Source Sans Pro" w:hAnsi="Source Sans Pro" w:cs="Source Sans Pro"/>
          <w:sz w:val="22"/>
          <w:szCs w:val="22"/>
        </w:rPr>
        <w:t xml:space="preserve"> </w:t>
      </w:r>
      <w:r w:rsidR="00F6556A">
        <w:rPr>
          <w:rFonts w:ascii="Source Sans Pro" w:hAnsi="Source Sans Pro" w:cs="Source Sans Pro"/>
          <w:sz w:val="22"/>
          <w:szCs w:val="22"/>
        </w:rPr>
        <w:t>aus. Dieser läge</w:t>
      </w:r>
      <w:r w:rsidR="00022F25">
        <w:rPr>
          <w:rFonts w:ascii="Source Sans Pro" w:hAnsi="Source Sans Pro" w:cs="Source Sans Pro"/>
          <w:sz w:val="22"/>
          <w:szCs w:val="22"/>
        </w:rPr>
        <w:t xml:space="preserve"> deutlich über </w:t>
      </w:r>
      <w:r w:rsidR="006E03E0">
        <w:rPr>
          <w:rFonts w:ascii="Source Sans Pro" w:hAnsi="Source Sans Pro" w:cs="Source Sans Pro"/>
          <w:sz w:val="22"/>
          <w:szCs w:val="22"/>
        </w:rPr>
        <w:t>den</w:t>
      </w:r>
      <w:r>
        <w:rPr>
          <w:rFonts w:ascii="Source Sans Pro" w:hAnsi="Source Sans Pro" w:cs="Source Sans Pro"/>
          <w:sz w:val="22"/>
          <w:szCs w:val="22"/>
        </w:rPr>
        <w:t xml:space="preserve"> 2,5 Mio. </w:t>
      </w:r>
      <w:r w:rsidR="006E03E0">
        <w:rPr>
          <w:rFonts w:ascii="Source Sans Pro" w:hAnsi="Source Sans Pro" w:cs="Source Sans Pro"/>
          <w:sz w:val="22"/>
          <w:szCs w:val="22"/>
        </w:rPr>
        <w:t>vermieteten und eigengenutzten Quadratmetern im Corona-Jahr</w:t>
      </w:r>
      <w:r w:rsidR="00022F25">
        <w:rPr>
          <w:rFonts w:ascii="Source Sans Pro" w:hAnsi="Source Sans Pro" w:cs="Source Sans Pro"/>
          <w:sz w:val="22"/>
          <w:szCs w:val="22"/>
        </w:rPr>
        <w:t xml:space="preserve">, </w:t>
      </w:r>
      <w:r w:rsidR="006E03E0">
        <w:rPr>
          <w:rFonts w:ascii="Source Sans Pro" w:hAnsi="Source Sans Pro" w:cs="Source Sans Pro"/>
          <w:sz w:val="22"/>
          <w:szCs w:val="22"/>
        </w:rPr>
        <w:t xml:space="preserve">wäre </w:t>
      </w:r>
      <w:r w:rsidR="00022F25">
        <w:rPr>
          <w:rFonts w:ascii="Source Sans Pro" w:hAnsi="Source Sans Pro" w:cs="Source Sans Pro"/>
          <w:sz w:val="22"/>
          <w:szCs w:val="22"/>
        </w:rPr>
        <w:t>aber noch weit entfernt von 3,9 Mio. m² Ende 2019.</w:t>
      </w:r>
    </w:p>
    <w:p w14:paraId="6ECCC731" w14:textId="77777777" w:rsidR="000136D7" w:rsidRDefault="000136D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30AA64E1" w14:textId="4102A7B9" w:rsidR="00F5697E" w:rsidRDefault="00F5697E" w:rsidP="00F5697E">
      <w:pPr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C9F61DF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br w:type="page"/>
      </w:r>
    </w:p>
    <w:p w14:paraId="700A8FF0" w14:textId="269DBE6F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>Top bekannte Abschlüsse über 15</w:t>
      </w:r>
      <w:r w:rsidR="004A2D54" w:rsidRPr="004A2D54">
        <w:rPr>
          <w:rFonts w:ascii="Source Sans Pro" w:hAnsi="Source Sans Pro" w:cs="Arial"/>
          <w:b/>
          <w:sz w:val="20"/>
        </w:rPr>
        <w:t>.000 m² | Top-7-Standorte | 1.</w:t>
      </w:r>
      <w:r w:rsidR="004A2D54">
        <w:rPr>
          <w:rFonts w:ascii="Source Sans Pro" w:hAnsi="Source Sans Pro" w:cs="Arial"/>
          <w:b/>
          <w:sz w:val="20"/>
        </w:rPr>
        <w:t>-3</w:t>
      </w:r>
      <w:r w:rsidR="004A2D54" w:rsidRPr="004A2D54">
        <w:rPr>
          <w:rFonts w:ascii="Source Sans Pro" w:hAnsi="Source Sans Pro" w:cs="Arial"/>
          <w:b/>
          <w:sz w:val="20"/>
        </w:rPr>
        <w:t>. Quartal 2021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38"/>
        <w:gridCol w:w="3938"/>
        <w:gridCol w:w="3483"/>
        <w:gridCol w:w="1023"/>
      </w:tblGrid>
      <w:tr w:rsidR="004A2D54" w:rsidRPr="004A2D54" w14:paraId="423F19E1" w14:textId="77777777" w:rsidTr="00AA5925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371F87" w:rsidRPr="004A2D54" w14:paraId="7E1E4C34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30E22" w14:textId="228B81C8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219CD" w14:textId="0EB84B0E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Anzinger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Straße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49315" w14:textId="05EF4766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Deutsches Patent- und Markenamt (DPMA)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B5CA8" w14:textId="3C408BDB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45.000</w:t>
            </w:r>
          </w:p>
        </w:tc>
      </w:tr>
      <w:tr w:rsidR="004A2D54" w:rsidRPr="004A2D54" w14:paraId="1A9052AE" w14:textId="77777777" w:rsidTr="00AA5925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983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664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Upbeat</w:t>
            </w:r>
            <w:proofErr w:type="spellEnd"/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“, Heidestraße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301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DKB Bank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58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34.900</w:t>
            </w:r>
          </w:p>
        </w:tc>
      </w:tr>
      <w:tr w:rsidR="004A2D54" w:rsidRPr="004A2D54" w14:paraId="026A2FAB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DFC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F0B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„New Courts“, Gerichtstraße 48-49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250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Bundesamt für Verbraucherschutz und Lebensmittelsicherheit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5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4A2D54" w:rsidRPr="004A2D54" w14:paraId="49C3D06F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585C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A5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„Kreisler“, Baseler Straße 46-48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FC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Nestlé Deutschland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B65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371F87" w:rsidRPr="004A2D54" w14:paraId="28B6771A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2F6E5" w14:textId="686DB907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6A056" w14:textId="16BFDEAE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Ipanema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>“, Überseering 30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1C182" w14:textId="45CA216B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proofErr w:type="spellStart"/>
            <w:r>
              <w:rPr>
                <w:rFonts w:ascii="Source Sans Pro" w:hAnsi="Source Sans Pro" w:cs="Arial"/>
                <w:bCs/>
                <w:sz w:val="16"/>
                <w:szCs w:val="16"/>
              </w:rPr>
              <w:t>Berenberg</w:t>
            </w:r>
            <w:proofErr w:type="spellEnd"/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Bank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96FE5" w14:textId="66A6B90F" w:rsidR="00371F87" w:rsidRPr="004A2D54" w:rsidRDefault="00371F87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19.200</w:t>
            </w:r>
          </w:p>
        </w:tc>
      </w:tr>
      <w:tr w:rsidR="004A2D54" w:rsidRPr="004A2D54" w14:paraId="4E973430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ED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46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AE9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C9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19.000</w:t>
            </w:r>
          </w:p>
        </w:tc>
      </w:tr>
      <w:tr w:rsidR="004A2D54" w:rsidRPr="004A2D54" w14:paraId="1675986B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A1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16B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Freisinger Landstraße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749" w14:textId="6888A7F6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SAP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4F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18.000</w:t>
            </w:r>
          </w:p>
        </w:tc>
      </w:tr>
      <w:tr w:rsidR="004A2D54" w:rsidRPr="004A2D54" w14:paraId="27ECDC7B" w14:textId="77777777" w:rsidTr="00371F87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80E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C9FE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Gisela-Stein-Straße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4FE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Wacker Chemie GmbH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EAB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17.800</w:t>
            </w:r>
          </w:p>
        </w:tc>
      </w:tr>
      <w:tr w:rsidR="004A2D54" w:rsidRPr="004A2D54" w14:paraId="5B46D012" w14:textId="77777777" w:rsidTr="00AA5925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23AA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C077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Josef-</w:t>
            </w:r>
            <w:proofErr w:type="spellStart"/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Lammerting</w:t>
            </w:r>
            <w:proofErr w:type="spellEnd"/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-Allee 24-34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6A6B0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Bundesbehörde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5749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16.200</w:t>
            </w:r>
          </w:p>
        </w:tc>
      </w:tr>
      <w:tr w:rsidR="004A2D54" w:rsidRPr="004A2D54" w14:paraId="17938D3C" w14:textId="77777777" w:rsidTr="00AA5925">
        <w:trPr>
          <w:trHeight w:val="227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2F1C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694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  <w:lang w:val="en-GB"/>
              </w:rPr>
              <w:t xml:space="preserve">„The Move Blue“, Gateway Gardens, </w:t>
            </w:r>
          </w:p>
          <w:p w14:paraId="6CB1DAB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De-Saint-</w:t>
            </w:r>
            <w:proofErr w:type="spellStart"/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Exupèry</w:t>
            </w:r>
            <w:proofErr w:type="spellEnd"/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-Straße 3, 5-7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42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Siemens (Eigennutzer)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34A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Cs/>
                <w:sz w:val="16"/>
                <w:szCs w:val="16"/>
              </w:rPr>
              <w:t>15.000</w:t>
            </w:r>
          </w:p>
        </w:tc>
      </w:tr>
    </w:tbl>
    <w:p w14:paraId="444FE02E" w14:textId="3C22A066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4A2D54">
        <w:rPr>
          <w:rFonts w:ascii="Source Sans Pro" w:hAnsi="Source Sans Pro" w:cs="Arial"/>
          <w:sz w:val="16"/>
          <w:szCs w:val="16"/>
        </w:rPr>
        <w:t>Deals aus diesem Berichtsquartal sind grau hinterlegt. Quelle:</w:t>
      </w:r>
      <w:r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75827B1" w14:textId="78BF3D2F" w:rsidR="00A67512" w:rsidRDefault="00A67512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5B9B2836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75A1F579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1AA40FD5" w:rsidR="004A2D54" w:rsidRPr="004A2D54" w:rsidRDefault="004A2D54" w:rsidP="004A2D54">
      <w:pPr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b/>
          <w:sz w:val="20"/>
        </w:rPr>
        <w:t>Top-7-Standorte | 1.</w:t>
      </w:r>
      <w:r>
        <w:rPr>
          <w:rFonts w:ascii="Source Sans Pro" w:hAnsi="Source Sans Pro" w:cs="Arial"/>
          <w:b/>
          <w:sz w:val="20"/>
        </w:rPr>
        <w:t>-3</w:t>
      </w:r>
      <w:r w:rsidRPr="004A2D54">
        <w:rPr>
          <w:rFonts w:ascii="Source Sans Pro" w:hAnsi="Source Sans Pro" w:cs="Arial"/>
          <w:b/>
          <w:sz w:val="20"/>
        </w:rPr>
        <w:t>. Quartal 2021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4A2D54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Flächenumsatz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0B123308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360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C6241A3" w14:textId="302E93CA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490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.000</w:t>
            </w:r>
          </w:p>
        </w:tc>
        <w:tc>
          <w:tcPr>
            <w:tcW w:w="502" w:type="pct"/>
            <w:vAlign w:val="center"/>
          </w:tcPr>
          <w:p w14:paraId="207CCC61" w14:textId="02D3993A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192.6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00</w:t>
            </w:r>
          </w:p>
        </w:tc>
        <w:tc>
          <w:tcPr>
            <w:tcW w:w="502" w:type="pct"/>
            <w:vAlign w:val="center"/>
          </w:tcPr>
          <w:p w14:paraId="6EB9679F" w14:textId="47CD378A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59C93C6A" w14:textId="47531D3A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286.900</w:t>
            </w:r>
          </w:p>
        </w:tc>
        <w:tc>
          <w:tcPr>
            <w:tcW w:w="502" w:type="pct"/>
            <w:vAlign w:val="center"/>
          </w:tcPr>
          <w:p w14:paraId="181F9FE1" w14:textId="6AD5BF73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86.500</w:t>
            </w:r>
          </w:p>
        </w:tc>
        <w:tc>
          <w:tcPr>
            <w:tcW w:w="502" w:type="pct"/>
            <w:vAlign w:val="center"/>
          </w:tcPr>
          <w:p w14:paraId="10452766" w14:textId="25C7B8CD" w:rsidR="004A2D54" w:rsidRPr="004A2D54" w:rsidRDefault="00371F87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410.500</w:t>
            </w:r>
          </w:p>
        </w:tc>
        <w:tc>
          <w:tcPr>
            <w:tcW w:w="502" w:type="pct"/>
            <w:vAlign w:val="center"/>
          </w:tcPr>
          <w:p w14:paraId="4805316C" w14:textId="23CD40D1" w:rsidR="004A2D54" w:rsidRPr="004A2D54" w:rsidRDefault="002A41A8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2.036.500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4A2D54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0F3F5F76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44</w:t>
            </w:r>
          </w:p>
        </w:tc>
        <w:tc>
          <w:tcPr>
            <w:tcW w:w="502" w:type="pct"/>
            <w:vAlign w:val="center"/>
          </w:tcPr>
          <w:p w14:paraId="0E53EDA4" w14:textId="0915E8AE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+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20</w:t>
            </w:r>
          </w:p>
        </w:tc>
        <w:tc>
          <w:tcPr>
            <w:tcW w:w="502" w:type="pct"/>
            <w:vAlign w:val="center"/>
          </w:tcPr>
          <w:p w14:paraId="44D058C9" w14:textId="6135BE0D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2</w:t>
            </w:r>
          </w:p>
        </w:tc>
        <w:tc>
          <w:tcPr>
            <w:tcW w:w="502" w:type="pct"/>
            <w:vAlign w:val="center"/>
          </w:tcPr>
          <w:p w14:paraId="07EAF74E" w14:textId="5DDF6A53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+4</w:t>
            </w:r>
            <w:r w:rsidR="002A41A8">
              <w:rPr>
                <w:rFonts w:ascii="Source Sans Pro" w:hAnsi="Source Sans Pro" w:cs="Arial"/>
                <w:sz w:val="16"/>
                <w:szCs w:val="16"/>
                <w:u w:val="single"/>
              </w:rPr>
              <w:t>5</w:t>
            </w:r>
          </w:p>
        </w:tc>
        <w:tc>
          <w:tcPr>
            <w:tcW w:w="502" w:type="pct"/>
            <w:vAlign w:val="center"/>
          </w:tcPr>
          <w:p w14:paraId="5C1E2E78" w14:textId="645E675B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+2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9</w:t>
            </w:r>
          </w:p>
        </w:tc>
        <w:tc>
          <w:tcPr>
            <w:tcW w:w="502" w:type="pct"/>
            <w:vAlign w:val="center"/>
          </w:tcPr>
          <w:p w14:paraId="0CE9A835" w14:textId="090E3DB2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12</w:t>
            </w:r>
          </w:p>
        </w:tc>
        <w:tc>
          <w:tcPr>
            <w:tcW w:w="502" w:type="pct"/>
            <w:vAlign w:val="center"/>
          </w:tcPr>
          <w:p w14:paraId="7AE6C155" w14:textId="5ECFC62D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-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1</w:t>
            </w:r>
          </w:p>
        </w:tc>
        <w:tc>
          <w:tcPr>
            <w:tcW w:w="502" w:type="pct"/>
            <w:vAlign w:val="center"/>
          </w:tcPr>
          <w:p w14:paraId="0193D00C" w14:textId="3C948DD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+1</w:t>
            </w:r>
            <w:r w:rsidR="002A41A8">
              <w:rPr>
                <w:rFonts w:ascii="Source Sans Pro" w:hAnsi="Source Sans Pro" w:cs="Arial"/>
                <w:b/>
                <w:sz w:val="16"/>
                <w:szCs w:val="16"/>
              </w:rPr>
              <w:t>7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21B6C28B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31,5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36FC9688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38,50</w:t>
            </w:r>
          </w:p>
        </w:tc>
        <w:tc>
          <w:tcPr>
            <w:tcW w:w="502" w:type="pct"/>
            <w:vAlign w:val="center"/>
          </w:tcPr>
          <w:p w14:paraId="1327B9B3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28,50</w:t>
            </w:r>
          </w:p>
        </w:tc>
        <w:tc>
          <w:tcPr>
            <w:tcW w:w="502" w:type="pct"/>
            <w:vAlign w:val="center"/>
          </w:tcPr>
          <w:p w14:paraId="760BB6C8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26,00</w:t>
            </w:r>
          </w:p>
        </w:tc>
        <w:tc>
          <w:tcPr>
            <w:tcW w:w="502" w:type="pct"/>
            <w:vAlign w:val="center"/>
          </w:tcPr>
          <w:p w14:paraId="3A6FFDAF" w14:textId="76E7120C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46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,00</w:t>
            </w:r>
          </w:p>
        </w:tc>
        <w:tc>
          <w:tcPr>
            <w:tcW w:w="502" w:type="pct"/>
            <w:vAlign w:val="center"/>
          </w:tcPr>
          <w:p w14:paraId="7563F31F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25,00</w:t>
            </w:r>
          </w:p>
        </w:tc>
        <w:tc>
          <w:tcPr>
            <w:tcW w:w="502" w:type="pct"/>
            <w:vAlign w:val="center"/>
          </w:tcPr>
          <w:p w14:paraId="1672D038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39,00</w:t>
            </w:r>
          </w:p>
        </w:tc>
        <w:tc>
          <w:tcPr>
            <w:tcW w:w="502" w:type="pct"/>
            <w:vAlign w:val="center"/>
          </w:tcPr>
          <w:p w14:paraId="4DAAB3C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37948D0C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18,10</w:t>
            </w:r>
          </w:p>
        </w:tc>
        <w:tc>
          <w:tcPr>
            <w:tcW w:w="502" w:type="pct"/>
            <w:vAlign w:val="center"/>
          </w:tcPr>
          <w:p w14:paraId="69F36A2E" w14:textId="0309990B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28,00</w:t>
            </w:r>
          </w:p>
        </w:tc>
        <w:tc>
          <w:tcPr>
            <w:tcW w:w="502" w:type="pct"/>
            <w:vAlign w:val="center"/>
          </w:tcPr>
          <w:p w14:paraId="3A3D5B73" w14:textId="216098E0" w:rsidR="004A2D54" w:rsidRPr="004A2D54" w:rsidRDefault="0048357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16,5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5EEA2477" w14:textId="54FFBB0A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17,0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5785D354" w14:textId="7BDAE77B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,90</w:t>
            </w:r>
          </w:p>
        </w:tc>
        <w:tc>
          <w:tcPr>
            <w:tcW w:w="502" w:type="pct"/>
            <w:vAlign w:val="center"/>
          </w:tcPr>
          <w:p w14:paraId="44091F26" w14:textId="795EEF32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15,70</w:t>
            </w:r>
          </w:p>
        </w:tc>
        <w:tc>
          <w:tcPr>
            <w:tcW w:w="502" w:type="pct"/>
            <w:vAlign w:val="center"/>
          </w:tcPr>
          <w:p w14:paraId="2CFCC248" w14:textId="5B1FD82F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22,7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0</w:t>
            </w:r>
          </w:p>
        </w:tc>
        <w:tc>
          <w:tcPr>
            <w:tcW w:w="502" w:type="pct"/>
            <w:vAlign w:val="center"/>
          </w:tcPr>
          <w:p w14:paraId="77B616F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027D61A4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13,9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502" w:type="pct"/>
            <w:vAlign w:val="center"/>
          </w:tcPr>
          <w:p w14:paraId="5A655032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20,15</w:t>
            </w:r>
          </w:p>
        </w:tc>
        <w:tc>
          <w:tcPr>
            <w:tcW w:w="502" w:type="pct"/>
            <w:vAlign w:val="center"/>
          </w:tcPr>
          <w:p w14:paraId="7BC26CF2" w14:textId="48FB2B70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7,3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1</w:t>
            </w:r>
          </w:p>
        </w:tc>
        <w:tc>
          <w:tcPr>
            <w:tcW w:w="502" w:type="pct"/>
            <w:vAlign w:val="center"/>
          </w:tcPr>
          <w:p w14:paraId="6CDA777F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8,00</w:t>
            </w:r>
          </w:p>
        </w:tc>
        <w:tc>
          <w:tcPr>
            <w:tcW w:w="502" w:type="pct"/>
            <w:vAlign w:val="center"/>
          </w:tcPr>
          <w:p w14:paraId="14273F72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11,69</w:t>
            </w:r>
          </w:p>
        </w:tc>
        <w:tc>
          <w:tcPr>
            <w:tcW w:w="502" w:type="pct"/>
            <w:vAlign w:val="center"/>
          </w:tcPr>
          <w:p w14:paraId="40B9B914" w14:textId="5DA01B5D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8,2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502" w:type="pct"/>
            <w:vAlign w:val="center"/>
          </w:tcPr>
          <w:p w14:paraId="2FFE04BD" w14:textId="7511E43A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23,3</w:t>
            </w:r>
            <w:r w:rsidR="002A41A8">
              <w:rPr>
                <w:rFonts w:ascii="Source Sans Pro" w:hAnsi="Source Sans Pro" w:cs="Arial"/>
                <w:sz w:val="16"/>
                <w:szCs w:val="16"/>
                <w:u w:val="single"/>
              </w:rPr>
              <w:t>0</w:t>
            </w:r>
          </w:p>
        </w:tc>
        <w:tc>
          <w:tcPr>
            <w:tcW w:w="502" w:type="pct"/>
            <w:vAlign w:val="center"/>
          </w:tcPr>
          <w:p w14:paraId="3F08A3A6" w14:textId="355560F5" w:rsidR="004A2D54" w:rsidRPr="004A2D54" w:rsidRDefault="004A2D54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92,</w:t>
            </w:r>
            <w:r w:rsidR="002A41A8">
              <w:rPr>
                <w:rFonts w:ascii="Source Sans Pro" w:hAnsi="Source Sans Pro" w:cs="Arial"/>
                <w:b/>
                <w:sz w:val="16"/>
                <w:szCs w:val="16"/>
              </w:rPr>
              <w:t>66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4C13B496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536.700</w:t>
            </w:r>
          </w:p>
        </w:tc>
        <w:tc>
          <w:tcPr>
            <w:tcW w:w="502" w:type="pct"/>
            <w:vAlign w:val="center"/>
          </w:tcPr>
          <w:p w14:paraId="75562CB1" w14:textId="5146D645" w:rsidR="004A2D54" w:rsidRPr="004A2D54" w:rsidRDefault="004A2D54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0.000</w:t>
            </w:r>
          </w:p>
        </w:tc>
        <w:tc>
          <w:tcPr>
            <w:tcW w:w="502" w:type="pct"/>
            <w:vAlign w:val="center"/>
          </w:tcPr>
          <w:p w14:paraId="05FD8594" w14:textId="22800D60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541.200</w:t>
            </w:r>
          </w:p>
        </w:tc>
        <w:tc>
          <w:tcPr>
            <w:tcW w:w="502" w:type="pct"/>
            <w:vAlign w:val="center"/>
          </w:tcPr>
          <w:p w14:paraId="69FA3B3B" w14:textId="71266A5F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275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3FBF36AD" w14:textId="4B71AA7E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966.9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00</w:t>
            </w:r>
          </w:p>
        </w:tc>
        <w:tc>
          <w:tcPr>
            <w:tcW w:w="502" w:type="pct"/>
            <w:vAlign w:val="center"/>
          </w:tcPr>
          <w:p w14:paraId="25A1686F" w14:textId="1954D125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269.500</w:t>
            </w:r>
          </w:p>
        </w:tc>
        <w:tc>
          <w:tcPr>
            <w:tcW w:w="502" w:type="pct"/>
            <w:vAlign w:val="center"/>
          </w:tcPr>
          <w:p w14:paraId="3C303F25" w14:textId="020B14BE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850.000</w:t>
            </w:r>
          </w:p>
        </w:tc>
        <w:tc>
          <w:tcPr>
            <w:tcW w:w="502" w:type="pct"/>
            <w:vAlign w:val="center"/>
          </w:tcPr>
          <w:p w14:paraId="21F33999" w14:textId="3A59F794" w:rsidR="004A2D54" w:rsidRPr="004A2D54" w:rsidRDefault="004A2D54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3.</w:t>
            </w:r>
            <w:r w:rsidR="002A41A8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989.3</w:t>
            </w: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Leerstandsrate</w:t>
            </w:r>
            <w:proofErr w:type="spellEnd"/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3,8</w:t>
            </w:r>
          </w:p>
        </w:tc>
        <w:tc>
          <w:tcPr>
            <w:tcW w:w="502" w:type="pct"/>
            <w:vAlign w:val="center"/>
          </w:tcPr>
          <w:p w14:paraId="13E26529" w14:textId="25246D13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2,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7</w:t>
            </w:r>
          </w:p>
        </w:tc>
        <w:tc>
          <w:tcPr>
            <w:tcW w:w="502" w:type="pct"/>
            <w:vAlign w:val="center"/>
          </w:tcPr>
          <w:p w14:paraId="6F4F9D00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7,4</w:t>
            </w:r>
          </w:p>
        </w:tc>
        <w:tc>
          <w:tcPr>
            <w:tcW w:w="502" w:type="pct"/>
            <w:vAlign w:val="center"/>
          </w:tcPr>
          <w:p w14:paraId="5C46F14C" w14:textId="073199ED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4</w:t>
            </w:r>
          </w:p>
        </w:tc>
        <w:tc>
          <w:tcPr>
            <w:tcW w:w="502" w:type="pct"/>
            <w:vAlign w:val="center"/>
          </w:tcPr>
          <w:p w14:paraId="28A3EAD2" w14:textId="573C8390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8,</w:t>
            </w:r>
            <w:r w:rsidR="002A41A8">
              <w:rPr>
                <w:rFonts w:ascii="Source Sans Pro" w:hAnsi="Source Sans Pro" w:cs="Arial"/>
                <w:sz w:val="16"/>
                <w:szCs w:val="16"/>
                <w:u w:val="single"/>
              </w:rPr>
              <w:t>3</w:t>
            </w:r>
          </w:p>
        </w:tc>
        <w:tc>
          <w:tcPr>
            <w:tcW w:w="502" w:type="pct"/>
            <w:vAlign w:val="center"/>
          </w:tcPr>
          <w:p w14:paraId="33743795" w14:textId="01795F3A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3</w:t>
            </w:r>
          </w:p>
        </w:tc>
        <w:tc>
          <w:tcPr>
            <w:tcW w:w="502" w:type="pct"/>
            <w:vAlign w:val="center"/>
          </w:tcPr>
          <w:p w14:paraId="0C8518F0" w14:textId="30F5E325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3,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502" w:type="pct"/>
            <w:vAlign w:val="center"/>
          </w:tcPr>
          <w:p w14:paraId="691A5F70" w14:textId="7C9F56A5" w:rsidR="004A2D54" w:rsidRPr="004A2D54" w:rsidRDefault="004A2D54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4,</w:t>
            </w:r>
            <w:r w:rsidR="002A41A8">
              <w:rPr>
                <w:rFonts w:ascii="Source Sans Pro" w:hAnsi="Source Sans Pro" w:cs="Arial"/>
                <w:b/>
                <w:sz w:val="16"/>
                <w:szCs w:val="16"/>
              </w:rPr>
              <w:t>3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2021 </w:t>
            </w: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+ 2022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6A12D361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268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.000</w:t>
            </w:r>
          </w:p>
        </w:tc>
        <w:tc>
          <w:tcPr>
            <w:tcW w:w="502" w:type="pct"/>
            <w:vAlign w:val="center"/>
          </w:tcPr>
          <w:p w14:paraId="1B9CE76A" w14:textId="0584ED33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1.193.7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00</w:t>
            </w:r>
          </w:p>
        </w:tc>
        <w:tc>
          <w:tcPr>
            <w:tcW w:w="502" w:type="pct"/>
            <w:vAlign w:val="center"/>
          </w:tcPr>
          <w:p w14:paraId="6D668434" w14:textId="54B5E1AA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239.400</w:t>
            </w:r>
          </w:p>
        </w:tc>
        <w:tc>
          <w:tcPr>
            <w:tcW w:w="502" w:type="pct"/>
            <w:vAlign w:val="center"/>
          </w:tcPr>
          <w:p w14:paraId="10EAAFA9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200.000</w:t>
            </w:r>
          </w:p>
        </w:tc>
        <w:tc>
          <w:tcPr>
            <w:tcW w:w="502" w:type="pct"/>
            <w:vAlign w:val="center"/>
          </w:tcPr>
          <w:p w14:paraId="1661A81C" w14:textId="1872AB9F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473.100</w:t>
            </w:r>
          </w:p>
        </w:tc>
        <w:tc>
          <w:tcPr>
            <w:tcW w:w="502" w:type="pct"/>
            <w:vAlign w:val="center"/>
          </w:tcPr>
          <w:p w14:paraId="3B7AF91D" w14:textId="4E469FD3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245.000</w:t>
            </w:r>
          </w:p>
        </w:tc>
        <w:tc>
          <w:tcPr>
            <w:tcW w:w="502" w:type="pct"/>
            <w:vAlign w:val="center"/>
          </w:tcPr>
          <w:p w14:paraId="77B39730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645.000</w:t>
            </w:r>
          </w:p>
        </w:tc>
        <w:tc>
          <w:tcPr>
            <w:tcW w:w="502" w:type="pct"/>
            <w:vAlign w:val="center"/>
          </w:tcPr>
          <w:p w14:paraId="3FBBFB7B" w14:textId="2D97CF95" w:rsidR="004A2D54" w:rsidRPr="004A2D54" w:rsidRDefault="004A2D54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3.</w:t>
            </w:r>
            <w:r w:rsidR="002A41A8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264</w:t>
            </w: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Vorvermietungsquote 2021 </w:t>
            </w:r>
            <w:r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+ 2022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2A160FF0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69</w:t>
            </w:r>
          </w:p>
        </w:tc>
        <w:tc>
          <w:tcPr>
            <w:tcW w:w="502" w:type="pct"/>
            <w:vAlign w:val="center"/>
          </w:tcPr>
          <w:p w14:paraId="3128957F" w14:textId="4AB10070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55</w:t>
            </w:r>
          </w:p>
        </w:tc>
        <w:tc>
          <w:tcPr>
            <w:tcW w:w="502" w:type="pct"/>
            <w:vAlign w:val="center"/>
          </w:tcPr>
          <w:p w14:paraId="7CFBEDFF" w14:textId="3D472CC4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73</w:t>
            </w:r>
          </w:p>
        </w:tc>
        <w:tc>
          <w:tcPr>
            <w:tcW w:w="502" w:type="pct"/>
            <w:vAlign w:val="center"/>
          </w:tcPr>
          <w:p w14:paraId="67E63DB4" w14:textId="45170654" w:rsidR="004A2D54" w:rsidRPr="004A2D54" w:rsidRDefault="002A41A8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  <w:tc>
          <w:tcPr>
            <w:tcW w:w="502" w:type="pct"/>
            <w:vAlign w:val="center"/>
          </w:tcPr>
          <w:p w14:paraId="06DA1C27" w14:textId="2684E766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5</w:t>
            </w:r>
            <w:r w:rsidR="002A41A8">
              <w:rPr>
                <w:rFonts w:ascii="Source Sans Pro" w:hAnsi="Source Sans Pro" w:cs="Arial"/>
                <w:sz w:val="16"/>
                <w:szCs w:val="16"/>
              </w:rPr>
              <w:t>3</w:t>
            </w:r>
          </w:p>
        </w:tc>
        <w:tc>
          <w:tcPr>
            <w:tcW w:w="502" w:type="pct"/>
            <w:vAlign w:val="center"/>
          </w:tcPr>
          <w:p w14:paraId="7876BE02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  <w:u w:val="single"/>
              </w:rPr>
              <w:t>74</w:t>
            </w:r>
          </w:p>
        </w:tc>
        <w:tc>
          <w:tcPr>
            <w:tcW w:w="502" w:type="pct"/>
            <w:vAlign w:val="center"/>
          </w:tcPr>
          <w:p w14:paraId="7E645B9E" w14:textId="77777777" w:rsidR="004A2D54" w:rsidRPr="004A2D54" w:rsidRDefault="004A2D5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62</w:t>
            </w:r>
          </w:p>
        </w:tc>
        <w:tc>
          <w:tcPr>
            <w:tcW w:w="502" w:type="pct"/>
            <w:vAlign w:val="center"/>
          </w:tcPr>
          <w:p w14:paraId="6B1BB734" w14:textId="4951A996" w:rsidR="004A2D54" w:rsidRPr="004A2D54" w:rsidRDefault="002A41A8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61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11085DE5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0C28B730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>ÜBER GERMAN PROP</w:t>
      </w:r>
      <w:bookmarkStart w:id="0" w:name="_GoBack"/>
      <w:bookmarkEnd w:id="0"/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ERTY PARTNERS. </w:t>
      </w:r>
    </w:p>
    <w:p w14:paraId="47B60849" w14:textId="77777777" w:rsidR="00E1280F" w:rsidRPr="00E1280F" w:rsidRDefault="00E05ECE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71E5DAC" w14:textId="15A7E453" w:rsidR="00E1280F" w:rsidRPr="00E1280F" w:rsidRDefault="00E77B98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41</w:t>
      </w:r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2020 vermittelte GPP deutschlandweit rund 462.800 m² Gewerbefläche und betreute ein Transaktionsvolumen in Höhe von rund 2,45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1B639EDA" w:rsidR="00DA733A" w:rsidRPr="00917410" w:rsidRDefault="004000A8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10208AFF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E05E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E05E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72E608F0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-620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51C2BD2D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ED8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27E4F130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C36A5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0C36A5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2B0D7F87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1550FE">
      <w:rPr>
        <w:rFonts w:ascii="Source Sans Pro" w:hAnsi="Source Sans Pro" w:cs="Source Sans Pro"/>
        <w:color w:val="0087A8"/>
        <w:sz w:val="18"/>
        <w:szCs w:val="18"/>
      </w:rPr>
      <w:t>620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089DD86C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FE">
      <w:rPr>
        <w:rFonts w:ascii="Source Sans Pro" w:hAnsi="Source Sans Pro" w:cs="Source Sans Pro"/>
        <w:color w:val="0087A8"/>
        <w:sz w:val="18"/>
        <w:szCs w:val="18"/>
      </w:rPr>
      <w:t>Berit Friedrich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12426"/>
    <w:rsid w:val="000136D7"/>
    <w:rsid w:val="00013D73"/>
    <w:rsid w:val="00013FE8"/>
    <w:rsid w:val="00020AC9"/>
    <w:rsid w:val="0002187D"/>
    <w:rsid w:val="00022F25"/>
    <w:rsid w:val="00024032"/>
    <w:rsid w:val="00027EA3"/>
    <w:rsid w:val="00032028"/>
    <w:rsid w:val="00033F7F"/>
    <w:rsid w:val="0003409F"/>
    <w:rsid w:val="000440EB"/>
    <w:rsid w:val="0005029E"/>
    <w:rsid w:val="000513D0"/>
    <w:rsid w:val="00054FE9"/>
    <w:rsid w:val="000663B5"/>
    <w:rsid w:val="00066A8A"/>
    <w:rsid w:val="00071BAF"/>
    <w:rsid w:val="00077E8A"/>
    <w:rsid w:val="00082C59"/>
    <w:rsid w:val="00091562"/>
    <w:rsid w:val="0009382E"/>
    <w:rsid w:val="000A4FBB"/>
    <w:rsid w:val="000A6A78"/>
    <w:rsid w:val="000B310B"/>
    <w:rsid w:val="000C36A5"/>
    <w:rsid w:val="000C3A22"/>
    <w:rsid w:val="000D6F2E"/>
    <w:rsid w:val="000D7FD3"/>
    <w:rsid w:val="000E194E"/>
    <w:rsid w:val="000E6577"/>
    <w:rsid w:val="000E7EA5"/>
    <w:rsid w:val="000F57F1"/>
    <w:rsid w:val="00103C4E"/>
    <w:rsid w:val="001116D7"/>
    <w:rsid w:val="00113D8C"/>
    <w:rsid w:val="00120624"/>
    <w:rsid w:val="0012156C"/>
    <w:rsid w:val="0014498B"/>
    <w:rsid w:val="001550FE"/>
    <w:rsid w:val="00155828"/>
    <w:rsid w:val="001647B3"/>
    <w:rsid w:val="00166ED2"/>
    <w:rsid w:val="00184BB0"/>
    <w:rsid w:val="00187963"/>
    <w:rsid w:val="001963BB"/>
    <w:rsid w:val="001A22F5"/>
    <w:rsid w:val="001B786B"/>
    <w:rsid w:val="001C518B"/>
    <w:rsid w:val="001C5D5B"/>
    <w:rsid w:val="001D3808"/>
    <w:rsid w:val="001E1829"/>
    <w:rsid w:val="001E5503"/>
    <w:rsid w:val="001E6935"/>
    <w:rsid w:val="001F218D"/>
    <w:rsid w:val="001F35E1"/>
    <w:rsid w:val="00200C83"/>
    <w:rsid w:val="002014F7"/>
    <w:rsid w:val="00202DD3"/>
    <w:rsid w:val="00223AD5"/>
    <w:rsid w:val="00226210"/>
    <w:rsid w:val="0022694F"/>
    <w:rsid w:val="00235393"/>
    <w:rsid w:val="00264A0A"/>
    <w:rsid w:val="00270180"/>
    <w:rsid w:val="0028070D"/>
    <w:rsid w:val="00282ED8"/>
    <w:rsid w:val="002A09C2"/>
    <w:rsid w:val="002A41A8"/>
    <w:rsid w:val="002A480D"/>
    <w:rsid w:val="002A7D58"/>
    <w:rsid w:val="002C52C5"/>
    <w:rsid w:val="002F461A"/>
    <w:rsid w:val="003152C9"/>
    <w:rsid w:val="00316196"/>
    <w:rsid w:val="003250ED"/>
    <w:rsid w:val="0033523C"/>
    <w:rsid w:val="00341D84"/>
    <w:rsid w:val="003424EC"/>
    <w:rsid w:val="0034454C"/>
    <w:rsid w:val="00355438"/>
    <w:rsid w:val="00355ED1"/>
    <w:rsid w:val="00363075"/>
    <w:rsid w:val="00366AF3"/>
    <w:rsid w:val="00371640"/>
    <w:rsid w:val="00371F87"/>
    <w:rsid w:val="00374F87"/>
    <w:rsid w:val="00392C51"/>
    <w:rsid w:val="003948FA"/>
    <w:rsid w:val="003A463F"/>
    <w:rsid w:val="003D36F0"/>
    <w:rsid w:val="003D5215"/>
    <w:rsid w:val="003E772C"/>
    <w:rsid w:val="003F293B"/>
    <w:rsid w:val="003F5E07"/>
    <w:rsid w:val="004000A8"/>
    <w:rsid w:val="0040331F"/>
    <w:rsid w:val="00403C95"/>
    <w:rsid w:val="00423DAC"/>
    <w:rsid w:val="00425DBF"/>
    <w:rsid w:val="004329C6"/>
    <w:rsid w:val="004343B1"/>
    <w:rsid w:val="00434EB9"/>
    <w:rsid w:val="00453BB0"/>
    <w:rsid w:val="00453F14"/>
    <w:rsid w:val="00456442"/>
    <w:rsid w:val="00474099"/>
    <w:rsid w:val="00483578"/>
    <w:rsid w:val="00491CBC"/>
    <w:rsid w:val="004A2A30"/>
    <w:rsid w:val="004A2D54"/>
    <w:rsid w:val="004B5CB6"/>
    <w:rsid w:val="004C616B"/>
    <w:rsid w:val="004D2CD0"/>
    <w:rsid w:val="004F1EDD"/>
    <w:rsid w:val="004F77D4"/>
    <w:rsid w:val="00500981"/>
    <w:rsid w:val="005045E7"/>
    <w:rsid w:val="00510C33"/>
    <w:rsid w:val="005122A0"/>
    <w:rsid w:val="0054038E"/>
    <w:rsid w:val="0054593A"/>
    <w:rsid w:val="005476AA"/>
    <w:rsid w:val="00554C9F"/>
    <w:rsid w:val="00557B57"/>
    <w:rsid w:val="005644BE"/>
    <w:rsid w:val="0057524E"/>
    <w:rsid w:val="00575A55"/>
    <w:rsid w:val="00580A44"/>
    <w:rsid w:val="005810F0"/>
    <w:rsid w:val="005A5999"/>
    <w:rsid w:val="005A7DA9"/>
    <w:rsid w:val="005C25D5"/>
    <w:rsid w:val="005D0D0E"/>
    <w:rsid w:val="005D449F"/>
    <w:rsid w:val="005D73BE"/>
    <w:rsid w:val="005E6515"/>
    <w:rsid w:val="005F27EF"/>
    <w:rsid w:val="005F3B7B"/>
    <w:rsid w:val="0060257F"/>
    <w:rsid w:val="00605989"/>
    <w:rsid w:val="00613713"/>
    <w:rsid w:val="006224FB"/>
    <w:rsid w:val="0063115F"/>
    <w:rsid w:val="006363DA"/>
    <w:rsid w:val="006432C0"/>
    <w:rsid w:val="006456EA"/>
    <w:rsid w:val="00653983"/>
    <w:rsid w:val="006609C2"/>
    <w:rsid w:val="00675E89"/>
    <w:rsid w:val="00695F46"/>
    <w:rsid w:val="006A3C35"/>
    <w:rsid w:val="006A6D11"/>
    <w:rsid w:val="006B2259"/>
    <w:rsid w:val="006B2684"/>
    <w:rsid w:val="006B5252"/>
    <w:rsid w:val="006C1FF3"/>
    <w:rsid w:val="006C5754"/>
    <w:rsid w:val="006D6526"/>
    <w:rsid w:val="006D7E9F"/>
    <w:rsid w:val="006E03E0"/>
    <w:rsid w:val="006E674D"/>
    <w:rsid w:val="006E6770"/>
    <w:rsid w:val="006F154A"/>
    <w:rsid w:val="006F3F00"/>
    <w:rsid w:val="0070363C"/>
    <w:rsid w:val="00712023"/>
    <w:rsid w:val="007144E9"/>
    <w:rsid w:val="00714A1F"/>
    <w:rsid w:val="00717328"/>
    <w:rsid w:val="0072073D"/>
    <w:rsid w:val="00742C04"/>
    <w:rsid w:val="0074571D"/>
    <w:rsid w:val="00771C92"/>
    <w:rsid w:val="00797DA3"/>
    <w:rsid w:val="007A4844"/>
    <w:rsid w:val="007B3142"/>
    <w:rsid w:val="007B33CE"/>
    <w:rsid w:val="007B7B81"/>
    <w:rsid w:val="007D1495"/>
    <w:rsid w:val="007D5A52"/>
    <w:rsid w:val="007D75C8"/>
    <w:rsid w:val="007E2C66"/>
    <w:rsid w:val="007F02A1"/>
    <w:rsid w:val="007F1021"/>
    <w:rsid w:val="007F2DBB"/>
    <w:rsid w:val="007F7E7C"/>
    <w:rsid w:val="008010F4"/>
    <w:rsid w:val="008113A7"/>
    <w:rsid w:val="00821A81"/>
    <w:rsid w:val="00856A7C"/>
    <w:rsid w:val="008739E7"/>
    <w:rsid w:val="00874645"/>
    <w:rsid w:val="00881685"/>
    <w:rsid w:val="008844D9"/>
    <w:rsid w:val="00891C3A"/>
    <w:rsid w:val="00895BBC"/>
    <w:rsid w:val="008A3A3B"/>
    <w:rsid w:val="008A7188"/>
    <w:rsid w:val="008D24F1"/>
    <w:rsid w:val="008D6B2E"/>
    <w:rsid w:val="008F2058"/>
    <w:rsid w:val="009064CE"/>
    <w:rsid w:val="00912233"/>
    <w:rsid w:val="00917410"/>
    <w:rsid w:val="009264D0"/>
    <w:rsid w:val="009312C4"/>
    <w:rsid w:val="0093360A"/>
    <w:rsid w:val="009358D3"/>
    <w:rsid w:val="00955433"/>
    <w:rsid w:val="00955764"/>
    <w:rsid w:val="00957A6F"/>
    <w:rsid w:val="009649C2"/>
    <w:rsid w:val="00965DEB"/>
    <w:rsid w:val="00973056"/>
    <w:rsid w:val="009738DE"/>
    <w:rsid w:val="009758E9"/>
    <w:rsid w:val="00977A0F"/>
    <w:rsid w:val="00980BEB"/>
    <w:rsid w:val="00980D94"/>
    <w:rsid w:val="00982F7B"/>
    <w:rsid w:val="009843D4"/>
    <w:rsid w:val="0099076D"/>
    <w:rsid w:val="0099690F"/>
    <w:rsid w:val="00996D38"/>
    <w:rsid w:val="00997675"/>
    <w:rsid w:val="009A3211"/>
    <w:rsid w:val="009A53E2"/>
    <w:rsid w:val="009B008F"/>
    <w:rsid w:val="009C3FDE"/>
    <w:rsid w:val="009E6FDF"/>
    <w:rsid w:val="009F28F5"/>
    <w:rsid w:val="00A07846"/>
    <w:rsid w:val="00A159F8"/>
    <w:rsid w:val="00A17CA6"/>
    <w:rsid w:val="00A2086A"/>
    <w:rsid w:val="00A22C2C"/>
    <w:rsid w:val="00A346EF"/>
    <w:rsid w:val="00A54087"/>
    <w:rsid w:val="00A65690"/>
    <w:rsid w:val="00A65FB0"/>
    <w:rsid w:val="00A66A23"/>
    <w:rsid w:val="00A67512"/>
    <w:rsid w:val="00A743C6"/>
    <w:rsid w:val="00A9412B"/>
    <w:rsid w:val="00A95739"/>
    <w:rsid w:val="00AB300C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237D"/>
    <w:rsid w:val="00AF2F5E"/>
    <w:rsid w:val="00B005BD"/>
    <w:rsid w:val="00B03444"/>
    <w:rsid w:val="00B04F23"/>
    <w:rsid w:val="00B14E68"/>
    <w:rsid w:val="00B23669"/>
    <w:rsid w:val="00B24860"/>
    <w:rsid w:val="00B4714C"/>
    <w:rsid w:val="00B56AFB"/>
    <w:rsid w:val="00B576A5"/>
    <w:rsid w:val="00B62EDB"/>
    <w:rsid w:val="00B71718"/>
    <w:rsid w:val="00B862DB"/>
    <w:rsid w:val="00B922EE"/>
    <w:rsid w:val="00B9596E"/>
    <w:rsid w:val="00BA6227"/>
    <w:rsid w:val="00BB0F85"/>
    <w:rsid w:val="00BC0132"/>
    <w:rsid w:val="00BC0598"/>
    <w:rsid w:val="00BD0426"/>
    <w:rsid w:val="00BD2784"/>
    <w:rsid w:val="00BF11C6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64096"/>
    <w:rsid w:val="00C846F6"/>
    <w:rsid w:val="00C85B10"/>
    <w:rsid w:val="00C96048"/>
    <w:rsid w:val="00C96214"/>
    <w:rsid w:val="00C9797F"/>
    <w:rsid w:val="00CA1FB9"/>
    <w:rsid w:val="00CA73C1"/>
    <w:rsid w:val="00CA79D7"/>
    <w:rsid w:val="00CC40B9"/>
    <w:rsid w:val="00CD463B"/>
    <w:rsid w:val="00CD77DD"/>
    <w:rsid w:val="00CD7E39"/>
    <w:rsid w:val="00CE2EFB"/>
    <w:rsid w:val="00CE5A10"/>
    <w:rsid w:val="00CF6D99"/>
    <w:rsid w:val="00D02FD8"/>
    <w:rsid w:val="00D10832"/>
    <w:rsid w:val="00D30707"/>
    <w:rsid w:val="00D3104C"/>
    <w:rsid w:val="00D50FDD"/>
    <w:rsid w:val="00D602AC"/>
    <w:rsid w:val="00D70824"/>
    <w:rsid w:val="00D760A9"/>
    <w:rsid w:val="00D925B8"/>
    <w:rsid w:val="00D92C1C"/>
    <w:rsid w:val="00DA3B66"/>
    <w:rsid w:val="00DA6836"/>
    <w:rsid w:val="00DA733A"/>
    <w:rsid w:val="00DB2417"/>
    <w:rsid w:val="00DC05A3"/>
    <w:rsid w:val="00DC0951"/>
    <w:rsid w:val="00DC6A0C"/>
    <w:rsid w:val="00DC7EB8"/>
    <w:rsid w:val="00DD2947"/>
    <w:rsid w:val="00DD3BDB"/>
    <w:rsid w:val="00DF25FA"/>
    <w:rsid w:val="00E03DB3"/>
    <w:rsid w:val="00E05ECE"/>
    <w:rsid w:val="00E1280F"/>
    <w:rsid w:val="00E17B2C"/>
    <w:rsid w:val="00E20271"/>
    <w:rsid w:val="00E27DEF"/>
    <w:rsid w:val="00E32743"/>
    <w:rsid w:val="00E342C7"/>
    <w:rsid w:val="00E354F6"/>
    <w:rsid w:val="00E41A83"/>
    <w:rsid w:val="00E4317C"/>
    <w:rsid w:val="00E63703"/>
    <w:rsid w:val="00E704C6"/>
    <w:rsid w:val="00E775AC"/>
    <w:rsid w:val="00E77B98"/>
    <w:rsid w:val="00E8471E"/>
    <w:rsid w:val="00E942DA"/>
    <w:rsid w:val="00E94EF3"/>
    <w:rsid w:val="00E959E9"/>
    <w:rsid w:val="00E95E00"/>
    <w:rsid w:val="00E97167"/>
    <w:rsid w:val="00EB19E5"/>
    <w:rsid w:val="00EB468A"/>
    <w:rsid w:val="00EC3DC1"/>
    <w:rsid w:val="00EC6CC2"/>
    <w:rsid w:val="00ED0970"/>
    <w:rsid w:val="00ED6DCA"/>
    <w:rsid w:val="00EF7BE7"/>
    <w:rsid w:val="00F05141"/>
    <w:rsid w:val="00F167CB"/>
    <w:rsid w:val="00F2164E"/>
    <w:rsid w:val="00F240EB"/>
    <w:rsid w:val="00F315FE"/>
    <w:rsid w:val="00F31FE6"/>
    <w:rsid w:val="00F45BB8"/>
    <w:rsid w:val="00F53F80"/>
    <w:rsid w:val="00F5697E"/>
    <w:rsid w:val="00F6556A"/>
    <w:rsid w:val="00F65709"/>
    <w:rsid w:val="00F673A2"/>
    <w:rsid w:val="00F72A3E"/>
    <w:rsid w:val="00F7577B"/>
    <w:rsid w:val="00F77715"/>
    <w:rsid w:val="00FB3B53"/>
    <w:rsid w:val="00FC69D9"/>
    <w:rsid w:val="00FD6D0F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Berit Friedrich</cp:lastModifiedBy>
  <cp:revision>97</cp:revision>
  <cp:lastPrinted>2019-05-13T13:17:00Z</cp:lastPrinted>
  <dcterms:created xsi:type="dcterms:W3CDTF">2021-09-28T13:57:00Z</dcterms:created>
  <dcterms:modified xsi:type="dcterms:W3CDTF">2021-10-04T14:31:00Z</dcterms:modified>
</cp:coreProperties>
</file>