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F648A2" w:rsidRDefault="00F10615" w:rsidP="001B659C">
      <w:pPr>
        <w:pStyle w:val="Pressemitteilung"/>
      </w:pPr>
      <w:r w:rsidRPr="00F648A2">
        <w:t>Pressemitteilung</w:t>
      </w:r>
    </w:p>
    <w:p w14:paraId="264E8FAF" w14:textId="15FA0951" w:rsidR="003E19EC" w:rsidRPr="00F429E6" w:rsidRDefault="00F648A2" w:rsidP="00042577">
      <w:pPr>
        <w:pStyle w:val="Hauptberschrift"/>
        <w:spacing w:line="240" w:lineRule="auto"/>
        <w:ind w:right="-2419"/>
      </w:pPr>
      <w:r w:rsidRPr="00F429E6">
        <w:t xml:space="preserve">Bayern: Im Süden scheint die </w:t>
      </w:r>
      <w:r w:rsidRPr="00EB3147">
        <w:t>Gründersonne</w:t>
      </w:r>
    </w:p>
    <w:p w14:paraId="5E55B507" w14:textId="52C86B1D" w:rsidR="00404DCD" w:rsidRPr="00F429E6" w:rsidRDefault="00404DCD" w:rsidP="00404DCD">
      <w:pPr>
        <w:pStyle w:val="Lead"/>
        <w:rPr>
          <w:rStyle w:val="ZeichenformatRot"/>
          <w:color w:val="auto"/>
        </w:rPr>
      </w:pPr>
      <w:r w:rsidRPr="00F429E6">
        <w:rPr>
          <w:rStyle w:val="ZeichenformatRot"/>
          <w:color w:val="auto"/>
        </w:rPr>
        <w:t xml:space="preserve">Deutscher Gründerpreis: Unternehmen aus dem Freistaat führen Länderranking </w:t>
      </w:r>
      <w:r w:rsidRPr="00EB3147">
        <w:rPr>
          <w:rStyle w:val="ZeichenformatRot"/>
          <w:color w:val="auto"/>
        </w:rPr>
        <w:t>an</w:t>
      </w:r>
    </w:p>
    <w:p w14:paraId="190EAFED" w14:textId="77777777" w:rsidR="00404DCD" w:rsidRPr="00F429E6" w:rsidRDefault="00404DCD" w:rsidP="00404DCD">
      <w:pPr>
        <w:pStyle w:val="Lead"/>
        <w:rPr>
          <w:rStyle w:val="ZeichenformatRot"/>
          <w:color w:val="auto"/>
        </w:rPr>
      </w:pPr>
      <w:proofErr w:type="spellStart"/>
      <w:r w:rsidRPr="00EB3147">
        <w:rPr>
          <w:rStyle w:val="ZeichenformatRot"/>
          <w:color w:val="auto"/>
        </w:rPr>
        <w:t>StartUps</w:t>
      </w:r>
      <w:proofErr w:type="spellEnd"/>
      <w:r w:rsidRPr="00F429E6">
        <w:rPr>
          <w:rStyle w:val="ZeichenformatRot"/>
          <w:color w:val="auto"/>
        </w:rPr>
        <w:t xml:space="preserve">: Baden-Württemberg und Niedersachsen dicht auf den </w:t>
      </w:r>
      <w:r w:rsidRPr="00EB3147">
        <w:rPr>
          <w:rStyle w:val="ZeichenformatRot"/>
          <w:color w:val="auto"/>
        </w:rPr>
        <w:t>Fersen</w:t>
      </w:r>
    </w:p>
    <w:p w14:paraId="3E5C4A04" w14:textId="637FDD87" w:rsidR="00F10615" w:rsidRPr="00F429E6" w:rsidRDefault="00404DCD" w:rsidP="00404DCD">
      <w:pPr>
        <w:pStyle w:val="Lead"/>
      </w:pPr>
      <w:r w:rsidRPr="00F429E6">
        <w:rPr>
          <w:rStyle w:val="ZeichenformatRot"/>
          <w:color w:val="auto"/>
        </w:rPr>
        <w:t xml:space="preserve">Aufsteiger 2021: Bayern kann Vorsprung ausbauen, Hamburg und Rheinland können </w:t>
      </w:r>
      <w:r w:rsidRPr="00EB3147">
        <w:rPr>
          <w:rStyle w:val="ZeichenformatRot"/>
          <w:color w:val="auto"/>
        </w:rPr>
        <w:t>aufholen</w:t>
      </w:r>
    </w:p>
    <w:p w14:paraId="23C01E3E" w14:textId="3B627A5B" w:rsidR="00E53855" w:rsidRPr="00E53855" w:rsidRDefault="00FE0A5D" w:rsidP="00FB3D9E">
      <w:pPr>
        <w:pStyle w:val="Vorspann"/>
      </w:pPr>
      <w:r w:rsidRPr="00423342">
        <w:rPr>
          <w:rFonts w:asciiTheme="majorHAnsi" w:hAnsiTheme="majorHAnsi"/>
          <w:b/>
          <w:bCs/>
        </w:rPr>
        <w:t>Einladung für Journalisten:</w:t>
      </w:r>
      <w:r w:rsidRPr="006F4605">
        <w:t xml:space="preserve"> Möchten Sie am </w:t>
      </w:r>
      <w:r w:rsidR="00BB4A3E">
        <w:t>14</w:t>
      </w:r>
      <w:r w:rsidRPr="006F4605">
        <w:t xml:space="preserve">. </w:t>
      </w:r>
      <w:r w:rsidR="00BB4A3E">
        <w:t>September</w:t>
      </w:r>
      <w:r w:rsidR="00D550D6" w:rsidRPr="006F4605">
        <w:t xml:space="preserve"> </w:t>
      </w:r>
      <w:r w:rsidR="00BB4A3E">
        <w:t>2021</w:t>
      </w:r>
      <w:r w:rsidR="00D550D6" w:rsidRPr="006F4605">
        <w:t xml:space="preserve"> über </w:t>
      </w:r>
      <w:r w:rsidR="00D550D6" w:rsidRPr="009C16FF">
        <w:t xml:space="preserve">die </w:t>
      </w:r>
      <w:r w:rsidR="00D550D6" w:rsidRPr="004F46FB">
        <w:t xml:space="preserve">Verleihung des </w:t>
      </w:r>
      <w:r w:rsidR="00D550D6" w:rsidRPr="00C34D28">
        <w:t>Deutschen</w:t>
      </w:r>
      <w:r w:rsidR="00D550D6" w:rsidRPr="004F46FB">
        <w:t xml:space="preserve"> Gründerpreises</w:t>
      </w:r>
      <w:r w:rsidR="00D550D6" w:rsidRPr="006F4605">
        <w:t xml:space="preserve"> berichten? 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3CFD01E9" w:rsidR="00AF05BF" w:rsidRPr="00F429E6" w:rsidRDefault="00F429E6" w:rsidP="00FB3D9E">
      <w:pPr>
        <w:pStyle w:val="Highlight"/>
      </w:pPr>
      <w:r w:rsidRPr="00F429E6">
        <w:t xml:space="preserve">Bayern hat das Dutzend vollgemacht! Der Freistaat führt das inoffizielle Länderranking beim </w:t>
      </w:r>
      <w:r w:rsidRPr="002C4FA2">
        <w:t>Deutschen</w:t>
      </w:r>
      <w:r w:rsidRPr="00F429E6">
        <w:t xml:space="preserve"> Gründerpreis, der bedeutendsten Auszeichnung für herausragende Unternehmer in Deutschland, an. Bereits zwölf Mal – auch bei der jüngsten Verleihung 2019 – nahmen Unternehmen aus dem Freistaat die begehrte Trophäe als </w:t>
      </w:r>
      <w:proofErr w:type="spellStart"/>
      <w:r w:rsidRPr="00EB3147">
        <w:t>StartUps</w:t>
      </w:r>
      <w:proofErr w:type="spellEnd"/>
      <w:r w:rsidRPr="00F429E6">
        <w:t xml:space="preserve"> oder Aufsteiger mit nach Hause. Am 14. September entscheidet sich im ZDF-Hauptstadtstudio in Berlin, ob sich diese Erfolgsstory 2021 fortschreibt. </w:t>
      </w:r>
    </w:p>
    <w:p w14:paraId="2ECE376E" w14:textId="77777777" w:rsidR="001B659C" w:rsidRDefault="001B659C" w:rsidP="001B659C">
      <w:pPr>
        <w:rPr>
          <w:rFonts w:ascii="Titillium Lt" w:hAnsi="Titillium Lt"/>
        </w:rPr>
        <w:sectPr w:rsidR="001B659C"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0295C4A4">
            <wp:extent cx="2364571" cy="157693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936"/>
                    </a:xfrm>
                    <a:prstGeom prst="rect">
                      <a:avLst/>
                    </a:prstGeom>
                  </pic:spPr>
                </pic:pic>
              </a:graphicData>
            </a:graphic>
          </wp:inline>
        </w:drawing>
      </w:r>
    </w:p>
    <w:p w14:paraId="323CE5E6" w14:textId="31A1B728" w:rsidR="001B659C" w:rsidRPr="00BB54D9" w:rsidRDefault="00BB54D9" w:rsidP="00962F7B">
      <w:pPr>
        <w:pStyle w:val="Bildunterschrift"/>
        <w:rPr>
          <w:rFonts w:asciiTheme="majorHAnsi" w:hAnsiTheme="majorHAnsi"/>
          <w:b/>
          <w:bCs/>
        </w:rPr>
      </w:pPr>
      <w:r w:rsidRPr="00BB54D9">
        <w:rPr>
          <w:rFonts w:asciiTheme="majorHAnsi" w:hAnsiTheme="majorHAnsi"/>
          <w:b/>
          <w:bCs/>
        </w:rPr>
        <w:t xml:space="preserve">Marcus Stahl, Mitgründer der </w:t>
      </w:r>
      <w:proofErr w:type="spellStart"/>
      <w:r w:rsidRPr="00BB54D9">
        <w:rPr>
          <w:rFonts w:asciiTheme="majorHAnsi" w:hAnsiTheme="majorHAnsi"/>
          <w:b/>
          <w:bCs/>
        </w:rPr>
        <w:t>Boxine</w:t>
      </w:r>
      <w:proofErr w:type="spellEnd"/>
      <w:r w:rsidRPr="00BB54D9">
        <w:rPr>
          <w:rFonts w:asciiTheme="majorHAnsi" w:hAnsiTheme="majorHAnsi"/>
          <w:b/>
          <w:bCs/>
        </w:rPr>
        <w:t xml:space="preserve"> GmbH und Gewinner des Deutschen Gründerpreis 2019 in der Kategorie </w:t>
      </w:r>
      <w:r w:rsidR="00E5480B">
        <w:rPr>
          <w:rFonts w:asciiTheme="majorHAnsi" w:hAnsiTheme="majorHAnsi"/>
          <w:b/>
          <w:bCs/>
        </w:rPr>
        <w:t>„</w:t>
      </w:r>
      <w:r w:rsidRPr="00BB54D9">
        <w:rPr>
          <w:rFonts w:asciiTheme="majorHAnsi" w:hAnsiTheme="majorHAnsi"/>
          <w:b/>
          <w:bCs/>
        </w:rPr>
        <w:t>Aufsteiger</w:t>
      </w:r>
      <w:r w:rsidR="00E5480B">
        <w:rPr>
          <w:rFonts w:asciiTheme="majorHAnsi" w:hAnsiTheme="majorHAnsi"/>
          <w:b/>
          <w:bCs/>
        </w:rPr>
        <w:t>“</w:t>
      </w:r>
      <w:r w:rsidRPr="00BB54D9">
        <w:rPr>
          <w:rFonts w:asciiTheme="majorHAnsi" w:hAnsiTheme="majorHAnsi"/>
          <w:b/>
          <w:bCs/>
        </w:rPr>
        <w:t xml:space="preserve"> mit Moderatorin Barbara </w:t>
      </w:r>
      <w:proofErr w:type="spellStart"/>
      <w:r w:rsidRPr="002C4FA2">
        <w:rPr>
          <w:rFonts w:asciiTheme="majorHAnsi" w:hAnsiTheme="majorHAnsi"/>
          <w:b/>
          <w:bCs/>
        </w:rPr>
        <w:t>Ha</w:t>
      </w:r>
      <w:r w:rsidR="00A62A3D" w:rsidRPr="002C4FA2">
        <w:rPr>
          <w:rFonts w:asciiTheme="majorHAnsi" w:hAnsiTheme="majorHAnsi"/>
          <w:b/>
          <w:bCs/>
        </w:rPr>
        <w:t>h</w:t>
      </w:r>
      <w:r w:rsidRPr="002C4FA2">
        <w:rPr>
          <w:rFonts w:asciiTheme="majorHAnsi" w:hAnsiTheme="majorHAnsi"/>
          <w:b/>
          <w:bCs/>
        </w:rPr>
        <w:t>lweg</w:t>
      </w:r>
      <w:proofErr w:type="spellEnd"/>
      <w:r w:rsidR="00F53C5E">
        <w:rPr>
          <w:rFonts w:asciiTheme="majorHAnsi" w:hAnsiTheme="majorHAnsi"/>
          <w:b/>
          <w:bCs/>
        </w:rPr>
        <w:t xml:space="preserve"> (links)</w:t>
      </w:r>
      <w:r w:rsidRPr="00BB54D9">
        <w:rPr>
          <w:rFonts w:asciiTheme="majorHAnsi" w:hAnsiTheme="majorHAnsi"/>
          <w:b/>
          <w:bCs/>
        </w:rPr>
        <w:t>.</w:t>
      </w:r>
    </w:p>
    <w:p w14:paraId="654C8444" w14:textId="6B822388" w:rsidR="001B659C" w:rsidRPr="00BB54D9" w:rsidRDefault="001B659C" w:rsidP="00962F7B">
      <w:pPr>
        <w:pStyle w:val="Bildunterschrift"/>
      </w:pPr>
      <w:r w:rsidRPr="00BB54D9">
        <w:t xml:space="preserve">Foto: </w:t>
      </w:r>
      <w:r w:rsidR="00BB54D9" w:rsidRPr="00BB54D9">
        <w:t xml:space="preserve">Franziska Krug für </w:t>
      </w:r>
      <w:r w:rsidR="00BB54D9" w:rsidRPr="002C4FA2">
        <w:t>Deutscher</w:t>
      </w:r>
      <w:r w:rsidR="00BB54D9" w:rsidRPr="00BB54D9">
        <w:t xml:space="preserve"> Gründerpreis</w:t>
      </w:r>
    </w:p>
    <w:p w14:paraId="3CAF1539" w14:textId="2A366DA4" w:rsidR="005F02D9" w:rsidRPr="006F4605" w:rsidRDefault="001B659C" w:rsidP="00962F7B">
      <w:pPr>
        <w:pStyle w:val="Bildunterschrift"/>
      </w:pPr>
      <w:r w:rsidRPr="001B659C">
        <w:t xml:space="preserve">Foto-Download: </w:t>
      </w:r>
      <w:r w:rsidR="001608B8">
        <w:t>tmdl.de</w:t>
      </w:r>
      <w:r w:rsidRPr="001B659C">
        <w:t>/</w:t>
      </w:r>
      <w:proofErr w:type="spellStart"/>
      <w:r w:rsidRPr="001B659C">
        <w:t>DGPfoto</w:t>
      </w:r>
      <w:proofErr w:type="spellEnd"/>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67CC71F3" w14:textId="77777777" w:rsidR="004A19FC" w:rsidRPr="000A3499" w:rsidRDefault="004A19FC" w:rsidP="004A19FC">
      <w:pPr>
        <w:jc w:val="both"/>
      </w:pPr>
      <w:r w:rsidRPr="000A3499">
        <w:t xml:space="preserve">Bislang sind in der Kategorie </w:t>
      </w:r>
      <w:proofErr w:type="spellStart"/>
      <w:r w:rsidRPr="000A3499">
        <w:t>StartUp</w:t>
      </w:r>
      <w:proofErr w:type="spellEnd"/>
      <w:r w:rsidRPr="000A3499">
        <w:t xml:space="preserve"> Baden-Württemberg und Niedersachsen dem Freistaat dicht auf den Fersen. Bei den Aufsteigern folgen auf Bayern der </w:t>
      </w:r>
      <w:r w:rsidRPr="002C4FA2">
        <w:t>Ostdeutsche</w:t>
      </w:r>
      <w:r w:rsidRPr="000A3499">
        <w:t xml:space="preserve"> Sparkassenverband und der </w:t>
      </w:r>
      <w:r w:rsidRPr="002C4FA2">
        <w:t>Rheinische</w:t>
      </w:r>
      <w:r w:rsidRPr="000A3499">
        <w:t xml:space="preserve"> Sparkassen- und Giroverband. Die Sparkassen sind gemeinsam mit </w:t>
      </w:r>
      <w:proofErr w:type="spellStart"/>
      <w:r w:rsidRPr="000A3499">
        <w:t>stern</w:t>
      </w:r>
      <w:proofErr w:type="spellEnd"/>
      <w:r w:rsidRPr="000A3499">
        <w:t xml:space="preserve">, ZDF und Porsche Initiatoren des </w:t>
      </w:r>
      <w:r w:rsidRPr="002C4FA2">
        <w:t>Deutschen</w:t>
      </w:r>
      <w:r w:rsidRPr="000A3499">
        <w:t xml:space="preserve"> Gründerpreises, der in diesem Jahr bereits zum 19. Mal </w:t>
      </w:r>
      <w:r w:rsidRPr="000A3499">
        <w:lastRenderedPageBreak/>
        <w:t>verliehen wird. Für den diesjährigen Preis nominiert sind Unternehmen aus Hamburg, Baden-Württemberg, Bayern und dem Rheinland.</w:t>
      </w:r>
    </w:p>
    <w:p w14:paraId="293C5D8E" w14:textId="77777777" w:rsidR="004A19FC" w:rsidRPr="000A3499" w:rsidRDefault="004A19FC" w:rsidP="004A19FC">
      <w:pPr>
        <w:jc w:val="both"/>
      </w:pPr>
      <w:r w:rsidRPr="000A3499">
        <w:t xml:space="preserve">Unternehmen aus Bayern waren, seit der </w:t>
      </w:r>
      <w:r w:rsidRPr="002C4FA2">
        <w:t>Deutsche</w:t>
      </w:r>
      <w:r w:rsidRPr="000A3499">
        <w:t xml:space="preserve"> Gründerpreis 2002 erstmals vergeben wurde, besonders häufig Preisträger: fünf Mal in der Kategorie </w:t>
      </w:r>
      <w:proofErr w:type="spellStart"/>
      <w:r w:rsidRPr="00C34D28">
        <w:t>StartUp</w:t>
      </w:r>
      <w:proofErr w:type="spellEnd"/>
      <w:r w:rsidRPr="000A3499">
        <w:t xml:space="preserve">, gar sieben Mal bei den Aufsteigern. Auch in diesem Jahr ist ein Unternehmen aus dem Freistaat unter den letzten Drei in der Kategorie „Aufsteiger“: </w:t>
      </w:r>
      <w:proofErr w:type="spellStart"/>
      <w:r w:rsidRPr="000A3499">
        <w:t>Hydrogenious</w:t>
      </w:r>
      <w:proofErr w:type="spellEnd"/>
      <w:r w:rsidRPr="000A3499">
        <w:t xml:space="preserve"> LOHC Technologies aus Erlangen stellt Anlagen her, die Wasserstoff gefahrlos transportierbar und lagerfähig machen. Unter den Aufsteigern in den Vorjahren waren etwa hotels.de aus Nürnberg, einer der führenden Online-Hotel-Reservierungsservices (2006) und </w:t>
      </w:r>
      <w:proofErr w:type="spellStart"/>
      <w:r w:rsidRPr="000A3499">
        <w:t>MyMüsli</w:t>
      </w:r>
      <w:proofErr w:type="spellEnd"/>
      <w:r w:rsidRPr="000A3499">
        <w:t xml:space="preserve"> aus Passau, das Onlineportal für individuellen Bio-Müsli-Frühstücksmix – inzwischen in sechs europäischen Ländern (2013). Bei der letzten Verleihung des </w:t>
      </w:r>
      <w:r w:rsidRPr="002C4FA2">
        <w:t>Deutschen</w:t>
      </w:r>
      <w:r w:rsidRPr="000A3499">
        <w:t xml:space="preserve"> Gründerpreises im Jahr 2019 war Bayern ebenfalls erfolgreich: Das </w:t>
      </w:r>
      <w:proofErr w:type="spellStart"/>
      <w:r w:rsidRPr="000A3499">
        <w:t>StartUp</w:t>
      </w:r>
      <w:proofErr w:type="spellEnd"/>
      <w:r w:rsidRPr="000A3499">
        <w:t xml:space="preserve"> GBS German </w:t>
      </w:r>
      <w:proofErr w:type="spellStart"/>
      <w:r w:rsidRPr="000A3499">
        <w:t>Bionic</w:t>
      </w:r>
      <w:proofErr w:type="spellEnd"/>
      <w:r w:rsidRPr="000A3499">
        <w:t xml:space="preserve"> Systems, Hersteller von Exoskeletten, die rückenschonend das Heben schwerer Lasten erleichtern, nahm die Trophäe mit nach Augsburg.</w:t>
      </w:r>
    </w:p>
    <w:p w14:paraId="0BDDE81B" w14:textId="77777777" w:rsidR="004A19FC" w:rsidRPr="000A3499" w:rsidRDefault="004A19FC" w:rsidP="004A19FC">
      <w:pPr>
        <w:jc w:val="both"/>
      </w:pPr>
      <w:r w:rsidRPr="000A3499">
        <w:t xml:space="preserve">In der Kategorie </w:t>
      </w:r>
      <w:proofErr w:type="spellStart"/>
      <w:r w:rsidRPr="000A3499">
        <w:t>StartUp</w:t>
      </w:r>
      <w:proofErr w:type="spellEnd"/>
      <w:r w:rsidRPr="000A3499">
        <w:t xml:space="preserve"> teilen sich Baden-Württemberg und Niedersachsen den zweiten Platz mit jeweils drei Preisträgern. 2018 beispielsweise ging der </w:t>
      </w:r>
      <w:r w:rsidRPr="002C4FA2">
        <w:t>Deutsche</w:t>
      </w:r>
      <w:r w:rsidRPr="000A3499">
        <w:t xml:space="preserve"> Gründerpreis an </w:t>
      </w:r>
      <w:proofErr w:type="spellStart"/>
      <w:r w:rsidRPr="000A3499">
        <w:t>Ineratec</w:t>
      </w:r>
      <w:proofErr w:type="spellEnd"/>
      <w:r w:rsidRPr="000A3499">
        <w:t xml:space="preserve"> aus Karlsruhe, die gigantische chemische Anlagen auf Miniaturformat schrumpfen. Und 2013 etwa erhielt die </w:t>
      </w:r>
      <w:proofErr w:type="spellStart"/>
      <w:r w:rsidRPr="000A3499">
        <w:t>Innoven</w:t>
      </w:r>
      <w:proofErr w:type="spellEnd"/>
      <w:r w:rsidRPr="000A3499">
        <w:t xml:space="preserve"> GmbH aus Bremerhaven den </w:t>
      </w:r>
      <w:r w:rsidRPr="002C4FA2">
        <w:t>Deutschen</w:t>
      </w:r>
      <w:r w:rsidRPr="000A3499">
        <w:t xml:space="preserve"> Gründerpreis für ihre innovativen Entwicklungen im Bereich der erneuerbaren und maritimen Technologien.</w:t>
      </w:r>
    </w:p>
    <w:p w14:paraId="5B1E0D47" w14:textId="77777777" w:rsidR="004A19FC" w:rsidRPr="000A3499" w:rsidRDefault="004A19FC" w:rsidP="004A19FC">
      <w:pPr>
        <w:jc w:val="both"/>
      </w:pPr>
      <w:r w:rsidRPr="000A3499">
        <w:t xml:space="preserve">2018 ging der </w:t>
      </w:r>
      <w:r w:rsidRPr="002C4FA2">
        <w:t>Deutsche</w:t>
      </w:r>
      <w:r w:rsidRPr="000A3499">
        <w:t xml:space="preserve"> Gründerpreis für Aufsteiger nach Ostdeutschland an die TESVOLT GmbH aus der Lutherstadt Wittenberg, die intelligente Stromspeicher, und damit einen wichtigen Baustein für die Energiewende entwickelt haben. Insgesamt wurde der </w:t>
      </w:r>
      <w:r w:rsidRPr="002C4FA2">
        <w:t>Deutsche</w:t>
      </w:r>
      <w:r w:rsidRPr="000A3499">
        <w:t xml:space="preserve"> Gründerpreis in der Kategorie Aufsteiger bereits drei Mal an Unternehmen aus dem Gebiet des </w:t>
      </w:r>
      <w:r w:rsidRPr="002C4FA2">
        <w:t>Ostdeutschen</w:t>
      </w:r>
      <w:r w:rsidRPr="000A3499">
        <w:t xml:space="preserve"> Sparkassenverbands vergeben. Ebenso häufig durfte sich der </w:t>
      </w:r>
      <w:r w:rsidRPr="002C4FA2">
        <w:t>Rheinische</w:t>
      </w:r>
      <w:r w:rsidRPr="000A3499">
        <w:t xml:space="preserve"> Sparkassen- und Giroverband über einen Preisträger „aus den eigenen Reihen“ freuen, zuletzt 2019, als </w:t>
      </w:r>
      <w:proofErr w:type="spellStart"/>
      <w:r w:rsidRPr="000A3499">
        <w:t>Boxine</w:t>
      </w:r>
      <w:proofErr w:type="spellEnd"/>
      <w:r w:rsidRPr="000A3499">
        <w:t xml:space="preserve"> aus Düsseldorf mit ihrer </w:t>
      </w:r>
      <w:proofErr w:type="spellStart"/>
      <w:r w:rsidRPr="000A3499">
        <w:t>Tonie</w:t>
      </w:r>
      <w:proofErr w:type="spellEnd"/>
      <w:r w:rsidRPr="000A3499">
        <w:t xml:space="preserve">-Spielfigur gewannen. Für das Rheinland in diesem Jahr am Start: </w:t>
      </w:r>
      <w:r w:rsidRPr="002C4FA2">
        <w:t>Die</w:t>
      </w:r>
      <w:r w:rsidRPr="000A3499">
        <w:t xml:space="preserve"> IT-Sicherheits-Dienstleister </w:t>
      </w:r>
      <w:proofErr w:type="spellStart"/>
      <w:r w:rsidRPr="000A3499">
        <w:t>SoSafe</w:t>
      </w:r>
      <w:proofErr w:type="spellEnd"/>
      <w:r w:rsidRPr="000A3499">
        <w:t xml:space="preserve"> aus Köln und Minimal-Schuh-Innovator Wildling aus Engelskirchen.</w:t>
      </w:r>
    </w:p>
    <w:p w14:paraId="66AAAF67" w14:textId="2AF042D9" w:rsidR="00543B2C" w:rsidRPr="000A3499" w:rsidRDefault="004A19FC" w:rsidP="004A19FC">
      <w:pPr>
        <w:jc w:val="both"/>
      </w:pPr>
      <w:r w:rsidRPr="000A3499">
        <w:t xml:space="preserve">Den inoffiziellen dritten Platz in dieser Kategorie teilen sich Unternehmen aus den Gebieten des </w:t>
      </w:r>
      <w:r w:rsidRPr="002C4FA2">
        <w:t>Hanseatischen</w:t>
      </w:r>
      <w:r w:rsidRPr="000A3499">
        <w:t xml:space="preserve"> Sparkassen- und Giroverbandes sowie aus Baden-Württemberg mit jeweils zwei Preisträgern. Beide haben in diesem Jahr gute Chancen, einen Preisträger zu stellen: Aus Hamburg ist Identitäts-</w:t>
      </w:r>
      <w:proofErr w:type="spellStart"/>
      <w:r w:rsidRPr="000A3499">
        <w:t>Verifizierer</w:t>
      </w:r>
      <w:proofErr w:type="spellEnd"/>
      <w:r w:rsidRPr="000A3499">
        <w:t xml:space="preserve"> </w:t>
      </w:r>
      <w:proofErr w:type="spellStart"/>
      <w:r w:rsidRPr="000A3499">
        <w:t>Nect</w:t>
      </w:r>
      <w:proofErr w:type="spellEnd"/>
      <w:r w:rsidRPr="000A3499">
        <w:t xml:space="preserve"> sowie Medizin-App-Hersteller </w:t>
      </w:r>
      <w:proofErr w:type="spellStart"/>
      <w:r w:rsidRPr="000A3499">
        <w:t>Sympatient</w:t>
      </w:r>
      <w:proofErr w:type="spellEnd"/>
      <w:r w:rsidRPr="000A3499">
        <w:t xml:space="preserve"> im Rennen, aus Meckenbeuren in Baden-Württemberg die Yuri GmbH, die Laborversuche in Schwerelosigkeit, etwa auf der </w:t>
      </w:r>
      <w:r w:rsidRPr="002C4FA2">
        <w:t>Internationalen</w:t>
      </w:r>
      <w:r w:rsidRPr="000A3499">
        <w:t xml:space="preserve"> Raumstation ISS, anbietet.</w:t>
      </w:r>
    </w:p>
    <w:p w14:paraId="13061B9D" w14:textId="5E185611" w:rsidR="00A13595" w:rsidRPr="00145363" w:rsidRDefault="00A13595" w:rsidP="00ED179F">
      <w:pPr>
        <w:jc w:val="both"/>
      </w:pPr>
      <w:r w:rsidRPr="00145363">
        <w:t xml:space="preserve">Die Finalisten in der </w:t>
      </w:r>
      <w:r w:rsidRPr="00423342">
        <w:rPr>
          <w:rFonts w:asciiTheme="majorHAnsi" w:hAnsiTheme="majorHAnsi"/>
          <w:b/>
          <w:bCs/>
        </w:rPr>
        <w:t xml:space="preserve">Kategorie </w:t>
      </w:r>
      <w:proofErr w:type="spellStart"/>
      <w:r w:rsidRPr="00423342">
        <w:rPr>
          <w:rFonts w:asciiTheme="majorHAnsi" w:hAnsiTheme="majorHAnsi"/>
          <w:b/>
          <w:bCs/>
        </w:rPr>
        <w:t>StartUp</w:t>
      </w:r>
      <w:proofErr w:type="spellEnd"/>
      <w:r w:rsidRPr="00145363">
        <w:t xml:space="preserve">, ein- bis maximal dreijährige Unternehmen, die ihre Geschäftsidee besonders erfolgreich am Markt etabliert haben, sind: </w:t>
      </w:r>
    </w:p>
    <w:p w14:paraId="70FE3CF9" w14:textId="7CE8F71A" w:rsidR="00A13595" w:rsidRPr="00ED179F" w:rsidRDefault="00A24A95" w:rsidP="00E7164F">
      <w:pPr>
        <w:pStyle w:val="Aufzhlung"/>
      </w:pPr>
      <w:proofErr w:type="spellStart"/>
      <w:r w:rsidRPr="00423342">
        <w:rPr>
          <w:rFonts w:asciiTheme="majorHAnsi" w:hAnsiTheme="majorHAnsi"/>
          <w:b/>
          <w:bCs/>
        </w:rPr>
        <w:t>SoSafe</w:t>
      </w:r>
      <w:proofErr w:type="spellEnd"/>
      <w:r w:rsidRPr="00423342">
        <w:rPr>
          <w:rFonts w:asciiTheme="majorHAnsi" w:hAnsiTheme="majorHAnsi"/>
          <w:b/>
          <w:bCs/>
        </w:rPr>
        <w:t xml:space="preserve"> GmbH, Köln:</w:t>
      </w:r>
      <w:r w:rsidRPr="00ED179F">
        <w:t xml:space="preserve"> Mit ihrer Trainings- und Sensibilisierungsplattform hilft </w:t>
      </w:r>
      <w:proofErr w:type="spellStart"/>
      <w:r w:rsidRPr="00ED179F">
        <w:t>SoSafe</w:t>
      </w:r>
      <w:proofErr w:type="spellEnd"/>
      <w:r w:rsidRPr="00ED179F">
        <w:t xml:space="preserv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w:t>
      </w:r>
      <w:proofErr w:type="spellStart"/>
      <w:r w:rsidRPr="00ED179F">
        <w:t>SoSafe</w:t>
      </w:r>
      <w:proofErr w:type="spellEnd"/>
      <w:r w:rsidRPr="00ED179F">
        <w:t>-Lösung.</w:t>
      </w:r>
    </w:p>
    <w:p w14:paraId="1E53BDE4" w14:textId="38641F40" w:rsidR="00A13595" w:rsidRPr="00ED179F" w:rsidRDefault="00A24A95" w:rsidP="00E7164F">
      <w:pPr>
        <w:pStyle w:val="Aufzhlung"/>
      </w:pPr>
      <w:proofErr w:type="spellStart"/>
      <w:r w:rsidRPr="00423342">
        <w:rPr>
          <w:rFonts w:asciiTheme="majorHAnsi" w:hAnsiTheme="majorHAnsi"/>
          <w:b/>
          <w:bCs/>
        </w:rPr>
        <w:t>Sympatient</w:t>
      </w:r>
      <w:proofErr w:type="spellEnd"/>
      <w:r w:rsidRPr="00423342">
        <w:rPr>
          <w:rFonts w:asciiTheme="majorHAnsi" w:hAnsiTheme="majorHAnsi"/>
          <w:b/>
          <w:bCs/>
        </w:rPr>
        <w:t xml:space="preserve"> GmbH, Hamburg:</w:t>
      </w:r>
      <w:r w:rsidRPr="00ED179F">
        <w:t xml:space="preserve"> Zehn Millionen Menschen in Deutschland leiden an Angststörungen. Die </w:t>
      </w:r>
      <w:proofErr w:type="spellStart"/>
      <w:r w:rsidRPr="00ED179F">
        <w:t>Invirto</w:t>
      </w:r>
      <w:proofErr w:type="spellEnd"/>
      <w:r w:rsidRPr="00ED179F">
        <w:t xml:space="preserve">-App von </w:t>
      </w:r>
      <w:proofErr w:type="spellStart"/>
      <w:r w:rsidRPr="00ED179F">
        <w:t>Sympatient</w:t>
      </w:r>
      <w:proofErr w:type="spellEnd"/>
      <w:r w:rsidRPr="00ED179F">
        <w:t xml:space="preserve">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ED179F" w:rsidRDefault="00ED179F" w:rsidP="00E7164F">
      <w:pPr>
        <w:pStyle w:val="Aufzhlung"/>
      </w:pPr>
      <w:proofErr w:type="spellStart"/>
      <w:r w:rsidRPr="00423342">
        <w:rPr>
          <w:rFonts w:asciiTheme="majorHAnsi" w:hAnsiTheme="majorHAnsi"/>
          <w:b/>
          <w:bCs/>
        </w:rPr>
        <w:t>yuri</w:t>
      </w:r>
      <w:proofErr w:type="spellEnd"/>
      <w:r w:rsidRPr="00423342">
        <w:rPr>
          <w:rFonts w:asciiTheme="majorHAnsi" w:hAnsiTheme="majorHAnsi"/>
          <w:b/>
          <w:bCs/>
        </w:rPr>
        <w:t xml:space="preserve"> GmbH, Meckenbeuren:</w:t>
      </w:r>
      <w:r w:rsidRPr="00ED179F">
        <w:t xml:space="preserve"> Laborversuche in Schwerelosigkeit einfacher, schneller und kostengünstiger ermöglichen – auf Parabelflügen oder auf der Internationalen Raumstation ISS: Mit einem ausgeklügelten Baukastensystem aus Mini-Laboren hat </w:t>
      </w:r>
      <w:proofErr w:type="spellStart"/>
      <w:r w:rsidRPr="00ED179F">
        <w:t>yuri</w:t>
      </w:r>
      <w:proofErr w:type="spellEnd"/>
      <w:r w:rsidRPr="00ED179F">
        <w:t xml:space="preserve">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145363" w:rsidRDefault="00A24A95" w:rsidP="00FB3D9E">
      <w:pPr>
        <w:pStyle w:val="Flietext"/>
      </w:pPr>
      <w:r w:rsidRPr="00A24A95">
        <w:t xml:space="preserve">In der Kategorie </w:t>
      </w:r>
      <w:r w:rsidRPr="00423342">
        <w:rPr>
          <w:rFonts w:asciiTheme="majorHAnsi" w:hAnsiTheme="majorHAnsi"/>
          <w:b/>
          <w:bCs/>
        </w:rPr>
        <w:t>Aufsteiger</w:t>
      </w:r>
      <w:r w:rsidRPr="00A24A95">
        <w:t xml:space="preserve"> werden Unternehmen ausgezeichnet, die nicht älter als neun Jahre sind und bereits ein außerordentliches Wachstum erreicht haben. Nominiert sind in diesem Jahr:</w:t>
      </w:r>
    </w:p>
    <w:p w14:paraId="70CCB249" w14:textId="283E7A64" w:rsidR="00A13595" w:rsidRPr="00BC30D0" w:rsidRDefault="000702F1" w:rsidP="00FB3D9E">
      <w:pPr>
        <w:pStyle w:val="Aufzhlung"/>
        <w:rPr>
          <w:bCs/>
        </w:rPr>
      </w:pPr>
      <w:proofErr w:type="spellStart"/>
      <w:r w:rsidRPr="00423342">
        <w:rPr>
          <w:rFonts w:asciiTheme="majorHAnsi" w:hAnsiTheme="majorHAnsi"/>
          <w:b/>
        </w:rPr>
        <w:t>Hydrogenious</w:t>
      </w:r>
      <w:proofErr w:type="spellEnd"/>
      <w:r w:rsidRPr="00423342">
        <w:rPr>
          <w:rFonts w:asciiTheme="majorHAnsi" w:hAnsiTheme="majorHAnsi"/>
          <w:b/>
        </w:rPr>
        <w:t xml:space="preserve"> LOHC Technologies GmbH, Erlangen:</w:t>
      </w:r>
      <w:r w:rsidRPr="00BC30D0">
        <w:rPr>
          <w:bCs/>
        </w:rPr>
        <w:t xml:space="preserve"> Grüner Wasserstoff ist in vielen Industrien für die Transformation zur Klimaneutralität essenziell</w:t>
      </w:r>
      <w:r w:rsidR="007E535F">
        <w:rPr>
          <w:bCs/>
        </w:rPr>
        <w:t>,</w:t>
      </w:r>
      <w:r w:rsidRPr="00BC30D0">
        <w:rPr>
          <w:bCs/>
        </w:rPr>
        <w:t xml:space="preserve"> von der Stahlerzeugung bis zur Glasherstellung. Mit Hilfe der von </w:t>
      </w:r>
      <w:proofErr w:type="spellStart"/>
      <w:r w:rsidRPr="00BC30D0">
        <w:rPr>
          <w:bCs/>
        </w:rPr>
        <w:t>Hydrogenious</w:t>
      </w:r>
      <w:proofErr w:type="spellEnd"/>
      <w:r w:rsidRPr="00BC30D0">
        <w:rPr>
          <w:bCs/>
        </w:rPr>
        <w:t xml:space="preserve">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BC30D0" w:rsidRDefault="00BC30D0" w:rsidP="00FB3D9E">
      <w:pPr>
        <w:pStyle w:val="Aufzhlung"/>
        <w:rPr>
          <w:bCs/>
        </w:rPr>
      </w:pPr>
      <w:proofErr w:type="spellStart"/>
      <w:r w:rsidRPr="00423342">
        <w:rPr>
          <w:rFonts w:asciiTheme="majorHAnsi" w:hAnsiTheme="majorHAnsi"/>
          <w:b/>
        </w:rPr>
        <w:t>Nect</w:t>
      </w:r>
      <w:proofErr w:type="spellEnd"/>
      <w:r w:rsidRPr="00423342">
        <w:rPr>
          <w:rFonts w:asciiTheme="majorHAnsi" w:hAnsiTheme="majorHAnsi"/>
          <w:b/>
        </w:rPr>
        <w:t xml:space="preserve"> GmbH, Hamburg</w:t>
      </w:r>
      <w:r w:rsidRPr="00423342">
        <w:rPr>
          <w:rFonts w:asciiTheme="majorHAnsi" w:hAnsiTheme="majorHAnsi"/>
          <w:bCs/>
        </w:rPr>
        <w:t>:</w:t>
      </w:r>
      <w:r w:rsidRPr="00BC30D0">
        <w:rPr>
          <w:bCs/>
        </w:rPr>
        <w:t xml:space="preserve"> Über 3,5 Millionen Identitäten hat die </w:t>
      </w:r>
      <w:proofErr w:type="spellStart"/>
      <w:r w:rsidRPr="00BC30D0">
        <w:rPr>
          <w:bCs/>
        </w:rPr>
        <w:t>Nect</w:t>
      </w:r>
      <w:proofErr w:type="spellEnd"/>
      <w:r w:rsidRPr="00BC30D0">
        <w:rPr>
          <w:bCs/>
        </w:rPr>
        <w:t xml:space="preserve">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BC30D0" w:rsidRDefault="00BC30D0" w:rsidP="00A13595">
      <w:pPr>
        <w:numPr>
          <w:ilvl w:val="0"/>
          <w:numId w:val="6"/>
        </w:numPr>
        <w:spacing w:line="280" w:lineRule="atLeast"/>
        <w:jc w:val="both"/>
      </w:pPr>
      <w:r w:rsidRPr="00423342">
        <w:rPr>
          <w:rFonts w:asciiTheme="majorHAnsi" w:hAnsiTheme="majorHAnsi"/>
          <w:b/>
          <w:bCs/>
        </w:rPr>
        <w:t xml:space="preserve">Wildling </w:t>
      </w:r>
      <w:proofErr w:type="spellStart"/>
      <w:r w:rsidRPr="00423342">
        <w:rPr>
          <w:rFonts w:asciiTheme="majorHAnsi" w:hAnsiTheme="majorHAnsi"/>
          <w:b/>
          <w:bCs/>
        </w:rPr>
        <w:t>Shoes</w:t>
      </w:r>
      <w:proofErr w:type="spellEnd"/>
      <w:r w:rsidRPr="00423342">
        <w:rPr>
          <w:rFonts w:asciiTheme="majorHAnsi" w:hAnsiTheme="majorHAnsi"/>
          <w:b/>
          <w:bCs/>
        </w:rPr>
        <w:t xml:space="preserve"> GmbH, Engelskirchen:</w:t>
      </w:r>
      <w:r w:rsidRPr="00BC30D0">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B05CE9" w:rsidRDefault="00B05CE9" w:rsidP="00B05CE9">
      <w:pPr>
        <w:ind w:right="-1"/>
        <w:jc w:val="both"/>
        <w:rPr>
          <w:rFonts w:ascii="Titillium Lt" w:hAnsi="Titillium Lt"/>
          <w:szCs w:val="22"/>
        </w:rPr>
      </w:pPr>
      <w:r w:rsidRPr="00B05CE9">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EC010E" w:rsidRDefault="00B05CE9" w:rsidP="00B05CE9">
      <w:pPr>
        <w:ind w:right="-1"/>
        <w:jc w:val="both"/>
        <w:rPr>
          <w:rFonts w:ascii="Titillium Lt" w:hAnsi="Titillium Lt"/>
          <w:szCs w:val="22"/>
        </w:rPr>
      </w:pPr>
      <w:r w:rsidRPr="00B05CE9">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Default="005164A4" w:rsidP="00A13595">
      <w:pPr>
        <w:ind w:right="-1"/>
        <w:jc w:val="both"/>
        <w:rPr>
          <w:rFonts w:ascii="Titillium Lt" w:hAnsi="Titillium Lt"/>
          <w:szCs w:val="22"/>
        </w:rPr>
      </w:pPr>
      <w:r w:rsidRPr="005164A4">
        <w:rPr>
          <w:rFonts w:ascii="Titillium Lt" w:hAnsi="Titillium Lt"/>
          <w:szCs w:val="22"/>
        </w:rPr>
        <w:t>Ausführliche Unternehmensporträts der Finalisten und weitere Informationen finden Sie im Internet unter www.deutscher-gruenderpreis.de.</w:t>
      </w:r>
    </w:p>
    <w:p w14:paraId="7990C923" w14:textId="7427A000" w:rsidR="004D1D24" w:rsidRPr="008403C5" w:rsidRDefault="004D1D24" w:rsidP="004D1D24">
      <w:pPr>
        <w:ind w:right="-1"/>
        <w:jc w:val="right"/>
        <w:rPr>
          <w:rFonts w:ascii="Titillium Lt" w:hAnsi="Titillium Lt"/>
          <w:sz w:val="16"/>
          <w:szCs w:val="16"/>
        </w:rPr>
      </w:pPr>
      <w:r w:rsidRPr="008403C5">
        <w:rPr>
          <w:rFonts w:ascii="Titillium Lt" w:hAnsi="Titillium Lt"/>
          <w:sz w:val="16"/>
          <w:szCs w:val="16"/>
        </w:rPr>
        <w:t>[</w:t>
      </w:r>
      <w:r w:rsidR="008403C5" w:rsidRPr="008403C5">
        <w:rPr>
          <w:rFonts w:ascii="Titillium Lt" w:hAnsi="Titillium Lt"/>
          <w:sz w:val="16"/>
          <w:szCs w:val="16"/>
        </w:rPr>
        <w:t>21373114</w:t>
      </w:r>
      <w:r w:rsidRPr="008403C5">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proofErr w:type="spellStart"/>
      <w:r w:rsidRPr="00D605AE">
        <w:rPr>
          <w:rFonts w:ascii="Titillium Lt" w:hAnsi="Titillium Lt" w:cs="Arial"/>
          <w:sz w:val="20"/>
        </w:rPr>
        <w:t>StartUp</w:t>
      </w:r>
      <w:proofErr w:type="spellEnd"/>
      <w:r w:rsidRPr="00D605AE">
        <w:rPr>
          <w:rFonts w:ascii="Titillium Lt" w:hAnsi="Titillium Lt" w:cs="Arial"/>
          <w:sz w:val="20"/>
        </w:rPr>
        <w:t xml:space="preserve">, Aufsteiger und Lebenswerk verliehen. Außergewöhnliche Unternehmerleistungen können mit einem Sonderpreis gewürdigt werden. Ausgelobt wird der Deutsche Gründerpreis von den Partnern </w:t>
      </w:r>
      <w:proofErr w:type="spellStart"/>
      <w:r w:rsidRPr="00D605AE">
        <w:rPr>
          <w:rFonts w:ascii="Titillium Lt" w:hAnsi="Titillium Lt" w:cs="Arial"/>
          <w:sz w:val="20"/>
        </w:rPr>
        <w:t>stern</w:t>
      </w:r>
      <w:proofErr w:type="spellEnd"/>
      <w:r w:rsidRPr="00D605AE">
        <w:rPr>
          <w:rFonts w:ascii="Titillium Lt" w:hAnsi="Titillium Lt" w:cs="Arial"/>
          <w:sz w:val="20"/>
        </w:rPr>
        <w:t>,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 xml:space="preserve">Internet &amp; </w:t>
      </w:r>
      <w:proofErr w:type="spellStart"/>
      <w:r w:rsidRPr="00D223E9">
        <w:t>Social</w:t>
      </w:r>
      <w:proofErr w:type="spellEnd"/>
      <w:r w:rsidRPr="00D223E9">
        <w:t xml:space="preserve">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proofErr w:type="spellStart"/>
      <w:r w:rsidRPr="008F1FD0">
        <w:rPr>
          <w:rFonts w:ascii="Titillium Lt" w:hAnsi="Titillium Lt"/>
          <w:b/>
          <w:sz w:val="20"/>
        </w:rPr>
        <w:t>Gruenderpreis</w:t>
      </w:r>
      <w:proofErr w:type="spellEnd"/>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proofErr w:type="spellStart"/>
      <w:r w:rsidRPr="008F1FD0">
        <w:rPr>
          <w:rFonts w:ascii="Titillium Lt" w:hAnsi="Titillium Lt"/>
          <w:b/>
          <w:sz w:val="20"/>
        </w:rPr>
        <w:t>DGP.DeutscherGruenderpreis</w:t>
      </w:r>
      <w:proofErr w:type="spellEnd"/>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w:t>
      </w:r>
      <w:proofErr w:type="spellStart"/>
      <w:r w:rsidRPr="00997BEC">
        <w:rPr>
          <w:rFonts w:ascii="Titillium Lt" w:hAnsi="Titillium Lt"/>
          <w:b/>
          <w:sz w:val="20"/>
        </w:rPr>
        <w:t>DGPfoto</w:t>
      </w:r>
      <w:proofErr w:type="spellEnd"/>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w:t>
      </w:r>
      <w:proofErr w:type="spellStart"/>
      <w:r w:rsidRPr="00E66DA5">
        <w:t>Ketscher</w:t>
      </w:r>
      <w:proofErr w:type="spellEnd"/>
      <w:r w:rsidRPr="00E66DA5">
        <w:t xml:space="preserve">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203153C1" w:rsidR="00D223E9" w:rsidRPr="006D31BB" w:rsidRDefault="000A3499" w:rsidP="00E53855">
    <w:pPr>
      <w:spacing w:after="0"/>
      <w:rPr>
        <w:rFonts w:asciiTheme="majorHAnsi" w:hAnsiTheme="majorHAnsi"/>
        <w:b/>
        <w:sz w:val="20"/>
      </w:rPr>
    </w:pPr>
    <w:r w:rsidRPr="000A3499">
      <w:rPr>
        <w:rFonts w:asciiTheme="majorHAnsi" w:hAnsiTheme="majorHAnsi"/>
        <w:b/>
        <w:sz w:val="20"/>
      </w:rPr>
      <w:t>07.09.2021</w:t>
    </w:r>
    <w:r w:rsidR="005C7CDD" w:rsidRPr="006D31BB">
      <w:rPr>
        <w:rFonts w:asciiTheme="majorHAnsi" w:hAnsiTheme="majorHAnsi"/>
        <w:b/>
        <w:sz w:val="20"/>
      </w:rPr>
      <w:t xml:space="preserve"> | </w:t>
    </w:r>
    <w:r w:rsidR="00D223E9" w:rsidRPr="006D31BB">
      <w:rPr>
        <w:rFonts w:asciiTheme="majorHAnsi" w:hAnsiTheme="majorHAnsi"/>
        <w:b/>
        <w:sz w:val="20"/>
      </w:rPr>
      <w:t xml:space="preserve">Seite </w:t>
    </w:r>
    <w:r w:rsidR="00D223E9" w:rsidRPr="006D31BB">
      <w:rPr>
        <w:rFonts w:asciiTheme="majorHAnsi" w:hAnsiTheme="majorHAnsi"/>
        <w:b/>
        <w:sz w:val="20"/>
      </w:rPr>
      <w:fldChar w:fldCharType="begin"/>
    </w:r>
    <w:r w:rsidR="00D223E9" w:rsidRPr="006D31BB">
      <w:rPr>
        <w:rFonts w:asciiTheme="majorHAnsi" w:hAnsiTheme="majorHAnsi"/>
        <w:b/>
        <w:sz w:val="20"/>
      </w:rPr>
      <w:instrText xml:space="preserve"> PAGE </w:instrText>
    </w:r>
    <w:r w:rsidR="00D223E9" w:rsidRPr="006D31BB">
      <w:rPr>
        <w:rFonts w:asciiTheme="majorHAnsi" w:hAnsiTheme="majorHAnsi"/>
        <w:b/>
        <w:sz w:val="20"/>
      </w:rPr>
      <w:fldChar w:fldCharType="separate"/>
    </w:r>
    <w:r w:rsidR="00872547" w:rsidRPr="006D31BB">
      <w:rPr>
        <w:rFonts w:asciiTheme="majorHAnsi" w:hAnsiTheme="majorHAnsi"/>
        <w:b/>
        <w:noProof/>
        <w:sz w:val="20"/>
      </w:rPr>
      <w:t>5</w:t>
    </w:r>
    <w:r w:rsidR="00D223E9" w:rsidRPr="006D31BB">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2336"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2A4B"/>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499"/>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71BC5"/>
    <w:rsid w:val="0028270A"/>
    <w:rsid w:val="002874C6"/>
    <w:rsid w:val="002A1273"/>
    <w:rsid w:val="002A24BD"/>
    <w:rsid w:val="002B346F"/>
    <w:rsid w:val="002B54CA"/>
    <w:rsid w:val="002C251E"/>
    <w:rsid w:val="002C3288"/>
    <w:rsid w:val="002C4FA2"/>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4DCD"/>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19FC"/>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212A"/>
    <w:rsid w:val="006D31B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3C5"/>
    <w:rsid w:val="008405BB"/>
    <w:rsid w:val="00840E65"/>
    <w:rsid w:val="00844EF6"/>
    <w:rsid w:val="00847744"/>
    <w:rsid w:val="0085203F"/>
    <w:rsid w:val="0085789D"/>
    <w:rsid w:val="0086350C"/>
    <w:rsid w:val="00863747"/>
    <w:rsid w:val="00870484"/>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2A3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09C"/>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B54D9"/>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34D2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5480B"/>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B3147"/>
    <w:rsid w:val="00EC010E"/>
    <w:rsid w:val="00EC1C11"/>
    <w:rsid w:val="00EC1D35"/>
    <w:rsid w:val="00EC4A51"/>
    <w:rsid w:val="00EC56FB"/>
    <w:rsid w:val="00EC63CA"/>
    <w:rsid w:val="00EC6B2E"/>
    <w:rsid w:val="00EC709B"/>
    <w:rsid w:val="00ED179F"/>
    <w:rsid w:val="00ED326E"/>
    <w:rsid w:val="00ED3A66"/>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9E6"/>
    <w:rsid w:val="00F42A7A"/>
    <w:rsid w:val="00F437F8"/>
    <w:rsid w:val="00F45E28"/>
    <w:rsid w:val="00F526D1"/>
    <w:rsid w:val="00F52E98"/>
    <w:rsid w:val="00F53C5E"/>
    <w:rsid w:val="00F53D5A"/>
    <w:rsid w:val="00F53EC3"/>
    <w:rsid w:val="00F54B1F"/>
    <w:rsid w:val="00F56951"/>
    <w:rsid w:val="00F56F4B"/>
    <w:rsid w:val="00F610F3"/>
    <w:rsid w:val="00F6441F"/>
    <w:rsid w:val="00F648A2"/>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1380</Words>
  <Characters>8699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2021-06-08T18:51:00Z</cp:lastPrinted>
  <dcterms:created xsi:type="dcterms:W3CDTF">2021-09-07T09:26:00Z</dcterms:created>
  <dcterms:modified xsi:type="dcterms:W3CDTF">2021-09-07T09:26:00Z</dcterms:modified>
</cp:coreProperties>
</file>