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1418" w14:textId="77777777" w:rsidR="00280DEA" w:rsidRDefault="00CB5332">
      <w:pPr>
        <w:rPr>
          <w:b/>
          <w:sz w:val="28"/>
          <w:szCs w:val="28"/>
        </w:rPr>
      </w:pPr>
      <w:r>
        <w:rPr>
          <w:noProof/>
        </w:rPr>
        <w:drawing>
          <wp:anchor distT="0" distB="0" distL="114300" distR="114300" simplePos="0" relativeHeight="251658240" behindDoc="0" locked="0" layoutInCell="1" hidden="0" allowOverlap="1" wp14:anchorId="24F263E3" wp14:editId="01EED276">
            <wp:simplePos x="0" y="0"/>
            <wp:positionH relativeFrom="column">
              <wp:posOffset>4752975</wp:posOffset>
            </wp:positionH>
            <wp:positionV relativeFrom="paragraph">
              <wp:posOffset>171450</wp:posOffset>
            </wp:positionV>
            <wp:extent cx="1396105" cy="701101"/>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96105" cy="701101"/>
                    </a:xfrm>
                    <a:prstGeom prst="rect">
                      <a:avLst/>
                    </a:prstGeom>
                    <a:ln/>
                  </pic:spPr>
                </pic:pic>
              </a:graphicData>
            </a:graphic>
          </wp:anchor>
        </w:drawing>
      </w:r>
    </w:p>
    <w:p w14:paraId="7AFAB25C" w14:textId="77777777" w:rsidR="00280DEA" w:rsidRDefault="00280DEA">
      <w:pPr>
        <w:jc w:val="center"/>
        <w:rPr>
          <w:b/>
          <w:sz w:val="28"/>
          <w:szCs w:val="28"/>
        </w:rPr>
      </w:pPr>
    </w:p>
    <w:p w14:paraId="7E9964DC" w14:textId="77777777" w:rsidR="00280DEA" w:rsidRDefault="00280DEA">
      <w:pPr>
        <w:rPr>
          <w:b/>
          <w:sz w:val="28"/>
          <w:szCs w:val="28"/>
        </w:rPr>
      </w:pPr>
      <w:bookmarkStart w:id="0" w:name="_heading=h.ai0ts72wbq7n" w:colFirst="0" w:colLast="0"/>
      <w:bookmarkEnd w:id="0"/>
    </w:p>
    <w:p w14:paraId="5DBF4C6C" w14:textId="77777777" w:rsidR="00280DEA" w:rsidRDefault="00280DEA">
      <w:pPr>
        <w:rPr>
          <w:b/>
          <w:sz w:val="28"/>
          <w:szCs w:val="28"/>
        </w:rPr>
      </w:pPr>
      <w:bookmarkStart w:id="1" w:name="_heading=h.gjdgxs" w:colFirst="0" w:colLast="0"/>
      <w:bookmarkEnd w:id="1"/>
    </w:p>
    <w:p w14:paraId="0EE3B8DC" w14:textId="77777777" w:rsidR="00280DEA" w:rsidRDefault="00CB5332">
      <w:pPr>
        <w:jc w:val="center"/>
        <w:rPr>
          <w:b/>
          <w:sz w:val="28"/>
          <w:szCs w:val="28"/>
        </w:rPr>
      </w:pPr>
      <w:bookmarkStart w:id="2" w:name="_heading=h.z8vpppmn80mb" w:colFirst="0" w:colLast="0"/>
      <w:bookmarkEnd w:id="2"/>
      <w:r>
        <w:rPr>
          <w:b/>
          <w:sz w:val="28"/>
          <w:szCs w:val="28"/>
        </w:rPr>
        <w:t>LATAM Airlines Group S.A. announces updates on its ADR programme reopening and relisting process</w:t>
      </w:r>
    </w:p>
    <w:p w14:paraId="5137796E" w14:textId="77777777" w:rsidR="00280DEA" w:rsidRDefault="00280DEA">
      <w:pPr>
        <w:jc w:val="both"/>
      </w:pPr>
    </w:p>
    <w:p w14:paraId="583A62ED" w14:textId="77777777" w:rsidR="00280DEA" w:rsidRDefault="00280DEA">
      <w:pPr>
        <w:shd w:val="clear" w:color="auto" w:fill="FFFFFF"/>
        <w:jc w:val="both"/>
      </w:pPr>
    </w:p>
    <w:p w14:paraId="52F20280" w14:textId="77777777" w:rsidR="00280DEA" w:rsidRDefault="00CB5332">
      <w:pPr>
        <w:jc w:val="both"/>
      </w:pPr>
      <w:r>
        <w:rPr>
          <w:highlight w:val="yellow"/>
        </w:rPr>
        <w:t>xxx, July 18, 2024</w:t>
      </w:r>
      <w:r>
        <w:t xml:space="preserve"> - As part of its progress in the process of reopening and relisting its ADR programme, LATAM Airlines Group S.A. announced that it plans to change the ratio of shares to ADRs currently in place from the existing 1:1 ratio to date to a new ratio of 2,000:1 (meaning that each ADR will represent two thousand shares). The ratio change is expected to take effect on or around 24 July 2024.</w:t>
      </w:r>
    </w:p>
    <w:p w14:paraId="2956D1A0" w14:textId="77777777" w:rsidR="00280DEA" w:rsidRDefault="00280DEA">
      <w:pPr>
        <w:jc w:val="both"/>
      </w:pPr>
    </w:p>
    <w:p w14:paraId="02B4BAE6" w14:textId="77777777" w:rsidR="00280DEA" w:rsidRDefault="00280DEA">
      <w:pPr>
        <w:jc w:val="both"/>
      </w:pPr>
    </w:p>
    <w:p w14:paraId="6A72BFE0" w14:textId="77777777" w:rsidR="00280DEA" w:rsidRDefault="00CB5332">
      <w:pPr>
        <w:jc w:val="both"/>
      </w:pPr>
      <w:r>
        <w:t xml:space="preserve">The change is designed to establish a price per ADR within a customary range for a newly listed share, thereby complying with the requirements of the New York Stock Exchange (NYSE).  </w:t>
      </w:r>
    </w:p>
    <w:p w14:paraId="4F37E8AA" w14:textId="77777777" w:rsidR="00280DEA" w:rsidRDefault="00280DEA">
      <w:pPr>
        <w:jc w:val="both"/>
      </w:pPr>
    </w:p>
    <w:p w14:paraId="2EE5AF01" w14:textId="77777777" w:rsidR="00280DEA" w:rsidRDefault="00CB5332">
      <w:pPr>
        <w:jc w:val="both"/>
      </w:pPr>
      <w:r>
        <w:t>Currently, LATAM's total outstanding shares amount to approximately 604 billion common shares, which, adjusted by the new ratio, would be equivalent to approximately 302 million ADRs.</w:t>
      </w:r>
    </w:p>
    <w:p w14:paraId="3C778CC2" w14:textId="77777777" w:rsidR="00280DEA" w:rsidRDefault="00280DEA">
      <w:pPr>
        <w:jc w:val="both"/>
      </w:pPr>
    </w:p>
    <w:p w14:paraId="515FCEAF" w14:textId="77777777" w:rsidR="00280DEA" w:rsidRDefault="00CB5332">
      <w:pPr>
        <w:jc w:val="both"/>
      </w:pPr>
      <w:r>
        <w:t xml:space="preserve">In this regard, the Board of Directors approved, on 17 July, the registration of an additional 100,000,000 ADRs to be added to the 217,000,000 ADRs currently registered, totalling approximately 317,000,000 ADRs.  These new ADRs would be available for possible future issuance, including those shareholders who, from time to time, elect to exchange their shares for ADRs in LATAM's ADR programme. </w:t>
      </w:r>
    </w:p>
    <w:p w14:paraId="6388F21A" w14:textId="77777777" w:rsidR="00280DEA" w:rsidRDefault="00280DEA">
      <w:pPr>
        <w:jc w:val="both"/>
      </w:pPr>
    </w:p>
    <w:p w14:paraId="17BCCA2E" w14:textId="77777777" w:rsidR="00280DEA" w:rsidRDefault="00CB5332">
      <w:pPr>
        <w:jc w:val="both"/>
      </w:pPr>
      <w:r>
        <w:t>The above actions are part of the group's decision to initiate the process to open and relist the ADRs on the NYSE last April. Once the ADRs are relisted, they are expected to be traded under the symbol ‘LTM’.</w:t>
      </w:r>
    </w:p>
    <w:p w14:paraId="40A50E6B" w14:textId="77777777" w:rsidR="00280DEA" w:rsidRDefault="00280DEA">
      <w:pPr>
        <w:jc w:val="both"/>
      </w:pPr>
    </w:p>
    <w:p w14:paraId="1726F232" w14:textId="77777777" w:rsidR="00280DEA" w:rsidRDefault="00CB5332">
      <w:pPr>
        <w:jc w:val="both"/>
      </w:pPr>
      <w:r>
        <w:rPr>
          <w:i/>
          <w:sz w:val="18"/>
          <w:szCs w:val="18"/>
        </w:rPr>
        <w:t>This communication is for informational purposes only in accordance with applicable laws and regulations and shall not constitute an offer to sell or the solicitation of an offer to buy, nor shall there be any sale of these securities in any state or jurisdiction in which such offer, solicitation or sale would be unlawful prior to registration or qualification under the securities laws of such state or jurisdiction.</w:t>
      </w:r>
    </w:p>
    <w:p w14:paraId="4C261B0A" w14:textId="77777777" w:rsidR="00280DEA" w:rsidRDefault="00280DEA">
      <w:pPr>
        <w:jc w:val="both"/>
      </w:pPr>
    </w:p>
    <w:p w14:paraId="6CE83548" w14:textId="77777777" w:rsidR="00280DEA" w:rsidRDefault="00280DEA"/>
    <w:p w14:paraId="23510584" w14:textId="77777777" w:rsidR="00280DEA" w:rsidRDefault="00CB5332">
      <w:r>
        <w:t xml:space="preserve">Más información en </w:t>
      </w:r>
      <w:hyperlink r:id="rId6">
        <w:r>
          <w:rPr>
            <w:color w:val="1155CC"/>
            <w:u w:val="single"/>
          </w:rPr>
          <w:t>https://www.latamairlinesgroup.net/</w:t>
        </w:r>
      </w:hyperlink>
    </w:p>
    <w:p w14:paraId="764D6441" w14:textId="77777777" w:rsidR="00280DEA" w:rsidRDefault="00280DEA"/>
    <w:p w14:paraId="120C0083" w14:textId="77777777" w:rsidR="00280DEA" w:rsidRDefault="00CB5332">
      <w:pPr>
        <w:shd w:val="clear" w:color="auto" w:fill="FFFFFF"/>
        <w:rPr>
          <w:b/>
          <w:color w:val="999999"/>
          <w:sz w:val="18"/>
          <w:szCs w:val="18"/>
          <w:u w:val="single"/>
        </w:rPr>
      </w:pPr>
      <w:r>
        <w:rPr>
          <w:b/>
          <w:color w:val="999999"/>
          <w:sz w:val="18"/>
          <w:szCs w:val="18"/>
          <w:u w:val="single"/>
        </w:rPr>
        <w:t>SOBRE EL GRUPO LATAM</w:t>
      </w:r>
    </w:p>
    <w:p w14:paraId="717C4E78" w14:textId="77777777" w:rsidR="00280DEA" w:rsidRDefault="00CB5332">
      <w:pPr>
        <w:shd w:val="clear" w:color="auto" w:fill="FFFFFF"/>
        <w:spacing w:before="240" w:after="240"/>
        <w:jc w:val="both"/>
        <w:rPr>
          <w:color w:val="7F7F7F"/>
          <w:sz w:val="18"/>
          <w:szCs w:val="18"/>
        </w:rPr>
      </w:pPr>
      <w:r>
        <w:rPr>
          <w:color w:val="7F7F7F"/>
          <w:sz w:val="18"/>
          <w:szCs w:val="18"/>
        </w:rPr>
        <w:t>LATAM y sus filiales son el principal grupo de aerolíneas de Latinoamérica, con presencia en cinco mercados domésticos de la región: Brasil, Chile, Colombia, Ecuador y Perú, además de operaciones internacionales dentro de Latinoamérica y hacia Europa, Oceanía, África, Estados Unidos y El Caribe.</w:t>
      </w:r>
    </w:p>
    <w:p w14:paraId="48DB4A3A" w14:textId="77777777" w:rsidR="00280DEA" w:rsidRDefault="00CB5332">
      <w:pPr>
        <w:shd w:val="clear" w:color="auto" w:fill="FFFFFF"/>
        <w:spacing w:before="240" w:after="240"/>
        <w:jc w:val="both"/>
        <w:rPr>
          <w:color w:val="7F7F7F"/>
          <w:sz w:val="18"/>
          <w:szCs w:val="18"/>
        </w:rPr>
      </w:pPr>
      <w:r>
        <w:rPr>
          <w:color w:val="7F7F7F"/>
          <w:sz w:val="18"/>
          <w:szCs w:val="18"/>
        </w:rPr>
        <w:lastRenderedPageBreak/>
        <w:t>El grupo cuenta con una flota de aviones Boeing 767, 777, 787, Airbus A321, A321neo, A320, A320neo y A319. LATAM Cargo Chile, LATAM Cargo Colombia y LATAM Cargo Brasil son las filiales de carga del grupo LATAM, además de tener acceso a las bodegas de los aviones de pasajeros de las filiales del grupo, cuentan con una flota conjunta de 20 aeronaves cargueras. Estas subsidiarias de carga cuentan con acceso a los aviones de pasajeros del grupo y operan dentro de la red del grupo LATAM, así como en rutas intern</w:t>
      </w:r>
      <w:r>
        <w:rPr>
          <w:color w:val="7F7F7F"/>
          <w:sz w:val="18"/>
          <w:szCs w:val="18"/>
        </w:rPr>
        <w:t>acionales exclusivas para el transporte de carga. Además, ofrecen una moderna infraestructura y una amplia variedad de servicios y opciones de atención para satisfacer las necesidades de sus clientes.</w:t>
      </w:r>
    </w:p>
    <w:p w14:paraId="1FBB7DFF" w14:textId="77777777" w:rsidR="00280DEA" w:rsidRDefault="00CB5332">
      <w:pPr>
        <w:shd w:val="clear" w:color="auto" w:fill="FFFFFF"/>
        <w:jc w:val="both"/>
        <w:rPr>
          <w:b/>
          <w:color w:val="1155CC"/>
          <w:sz w:val="18"/>
          <w:szCs w:val="18"/>
          <w:u w:val="single"/>
        </w:rPr>
      </w:pPr>
      <w:hyperlink r:id="rId7">
        <w:r>
          <w:rPr>
            <w:b/>
            <w:color w:val="1155CC"/>
            <w:sz w:val="18"/>
            <w:szCs w:val="18"/>
            <w:u w:val="single"/>
          </w:rPr>
          <w:t>www.latam.com</w:t>
        </w:r>
      </w:hyperlink>
    </w:p>
    <w:p w14:paraId="76DD5AD4" w14:textId="77777777" w:rsidR="00280DEA" w:rsidRDefault="00280DEA"/>
    <w:sectPr w:rsidR="00280D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EA"/>
    <w:rsid w:val="00280DEA"/>
    <w:rsid w:val="002E075C"/>
    <w:rsid w:val="00CB5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856B"/>
  <w15:docId w15:val="{A16F022F-390C-4A4F-AC02-9CF50420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ta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atamairlinesgroup.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jpv5yzG2IoXpR8gXvIfJov0+w==">CgMxLjAyDmguYWkwdHM3MndicTduMghoLmdqZGd4czIOaC56OHZwcHBtbjgwbWI4AHIhMUQ3NEQzZVRtUHl3VnRHREhzTHlEZmN5Tll3S3pFeG5W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2684</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Desiree Ampuero Estay     (LATAM)</dc:creator>
  <cp:lastModifiedBy>Altmann, Simone</cp:lastModifiedBy>
  <cp:revision>2</cp:revision>
  <dcterms:created xsi:type="dcterms:W3CDTF">2024-07-19T06:29:00Z</dcterms:created>
  <dcterms:modified xsi:type="dcterms:W3CDTF">2024-07-19T06:29:00Z</dcterms:modified>
</cp:coreProperties>
</file>